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0D" w:rsidRPr="00C876C5" w:rsidRDefault="0060610D" w:rsidP="0060610D">
      <w:pPr>
        <w:spacing w:line="440" w:lineRule="exact"/>
        <w:ind w:firstLineChars="0" w:firstLine="0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bookmarkStart w:id="0" w:name="_GoBack"/>
      <w:r w:rsidRPr="00C876C5">
        <w:rPr>
          <w:rFonts w:ascii="方正小标宋简体" w:eastAsia="方正小标宋简体" w:hAnsi="Calibri" w:cs="Times New Roman" w:hint="eastAsia"/>
          <w:sz w:val="44"/>
          <w:szCs w:val="44"/>
        </w:rPr>
        <w:t>部门（单位）日常消防巡查记录表</w:t>
      </w:r>
      <w:bookmarkEnd w:id="0"/>
    </w:p>
    <w:p w:rsidR="0060610D" w:rsidRPr="00C876C5" w:rsidRDefault="0060610D" w:rsidP="0060610D">
      <w:pPr>
        <w:spacing w:line="440" w:lineRule="exact"/>
        <w:ind w:firstLineChars="0" w:firstLine="0"/>
        <w:rPr>
          <w:rFonts w:ascii="Calibri" w:eastAsia="宋体" w:hAnsi="Calibri" w:cs="Times New Roman"/>
          <w:sz w:val="21"/>
        </w:rPr>
      </w:pPr>
      <w:r w:rsidRPr="00C876C5">
        <w:rPr>
          <w:rFonts w:ascii="仿宋_GB2312" w:hAnsi="Calibri" w:cs="Times New Roman" w:hint="eastAsia"/>
          <w:b/>
          <w:sz w:val="21"/>
        </w:rPr>
        <w:t>部门</w:t>
      </w:r>
      <w:r w:rsidRPr="00C876C5">
        <w:rPr>
          <w:rFonts w:ascii="仿宋_GB2312" w:hAnsi="Calibri" w:cs="Times New Roman"/>
          <w:b/>
          <w:sz w:val="21"/>
        </w:rPr>
        <w:t>（单位）</w:t>
      </w:r>
      <w:r w:rsidRPr="00C876C5">
        <w:rPr>
          <w:rFonts w:ascii="Calibri" w:eastAsia="宋体" w:hAnsi="Calibri" w:cs="Times New Roman" w:hint="eastAsia"/>
          <w:sz w:val="21"/>
        </w:rPr>
        <w:t>：</w:t>
      </w:r>
      <w:r w:rsidRPr="00C876C5">
        <w:rPr>
          <w:rFonts w:ascii="Calibri" w:eastAsia="宋体" w:hAnsi="Calibri" w:cs="Times New Roman" w:hint="eastAsia"/>
          <w:sz w:val="21"/>
          <w:u w:val="single"/>
        </w:rPr>
        <w:t xml:space="preserve">                    </w:t>
      </w:r>
      <w:r w:rsidRPr="00C876C5">
        <w:rPr>
          <w:rFonts w:ascii="Calibri" w:eastAsia="宋体" w:hAnsi="Calibri" w:cs="Times New Roman" w:hint="eastAsia"/>
          <w:sz w:val="21"/>
        </w:rPr>
        <w:t xml:space="preserve">                                                               </w:t>
      </w:r>
      <w:r w:rsidRPr="00C876C5">
        <w:rPr>
          <w:rFonts w:ascii="Calibri" w:eastAsia="宋体" w:hAnsi="Calibri" w:cs="Times New Roman"/>
          <w:sz w:val="21"/>
        </w:rPr>
        <w:t xml:space="preserve">  </w:t>
      </w:r>
      <w:r w:rsidRPr="00C876C5">
        <w:rPr>
          <w:rFonts w:ascii="Calibri" w:eastAsia="宋体" w:hAnsi="Calibri" w:cs="Times New Roman" w:hint="eastAsia"/>
          <w:sz w:val="21"/>
        </w:rPr>
        <w:t xml:space="preserve">         </w:t>
      </w:r>
      <w:r w:rsidRPr="00C876C5">
        <w:rPr>
          <w:rFonts w:ascii="仿宋_GB2312" w:hAnsi="Calibri" w:cs="Times New Roman" w:hint="eastAsia"/>
          <w:b/>
          <w:sz w:val="22"/>
        </w:rPr>
        <w:t>检查时间：    年   月   日</w:t>
      </w:r>
    </w:p>
    <w:tbl>
      <w:tblPr>
        <w:tblpPr w:leftFromText="180" w:rightFromText="180" w:vertAnchor="page" w:horzAnchor="margin" w:tblpXSpec="center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60"/>
        <w:gridCol w:w="1539"/>
        <w:gridCol w:w="5419"/>
        <w:gridCol w:w="1121"/>
        <w:gridCol w:w="2230"/>
        <w:gridCol w:w="1260"/>
        <w:gridCol w:w="1291"/>
      </w:tblGrid>
      <w:tr w:rsidR="0060610D" w:rsidRPr="00C876C5" w:rsidTr="003E779A">
        <w:trPr>
          <w:trHeight w:val="1073"/>
        </w:trPr>
        <w:tc>
          <w:tcPr>
            <w:tcW w:w="1101" w:type="dxa"/>
            <w:gridSpan w:val="2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C876C5">
              <w:rPr>
                <w:rFonts w:ascii="黑体" w:eastAsia="黑体" w:hAnsi="黑体" w:cs="Times New Roman" w:hint="eastAsia"/>
                <w:szCs w:val="32"/>
              </w:rPr>
              <w:t>检查</w:t>
            </w:r>
            <w:r w:rsidRPr="00C876C5">
              <w:rPr>
                <w:rFonts w:ascii="黑体" w:eastAsia="黑体" w:hAnsi="黑体" w:cs="Times New Roman"/>
                <w:szCs w:val="32"/>
              </w:rPr>
              <w:t>项目</w:t>
            </w:r>
          </w:p>
        </w:tc>
        <w:tc>
          <w:tcPr>
            <w:tcW w:w="1559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C876C5">
              <w:rPr>
                <w:rFonts w:ascii="黑体" w:eastAsia="黑体" w:hAnsi="黑体" w:cs="Times New Roman" w:hint="eastAsia"/>
                <w:szCs w:val="32"/>
              </w:rPr>
              <w:t>检查内容</w:t>
            </w:r>
          </w:p>
        </w:tc>
        <w:tc>
          <w:tcPr>
            <w:tcW w:w="552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C876C5">
              <w:rPr>
                <w:rFonts w:ascii="黑体" w:eastAsia="黑体" w:hAnsi="黑体" w:cs="Times New Roman" w:hint="eastAsia"/>
                <w:szCs w:val="32"/>
              </w:rPr>
              <w:t>检查情况</w:t>
            </w:r>
          </w:p>
        </w:tc>
        <w:tc>
          <w:tcPr>
            <w:tcW w:w="1134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C876C5">
              <w:rPr>
                <w:rFonts w:ascii="黑体" w:eastAsia="黑体" w:hAnsi="黑体" w:cs="Times New Roman" w:hint="eastAsia"/>
                <w:szCs w:val="32"/>
              </w:rPr>
              <w:t>检查区域</w:t>
            </w:r>
          </w:p>
        </w:tc>
        <w:tc>
          <w:tcPr>
            <w:tcW w:w="226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C876C5">
              <w:rPr>
                <w:rFonts w:ascii="黑体" w:eastAsia="黑体" w:hAnsi="黑体" w:cs="Times New Roman" w:hint="eastAsia"/>
                <w:szCs w:val="32"/>
              </w:rPr>
              <w:t>处理情况</w:t>
            </w:r>
          </w:p>
        </w:tc>
        <w:tc>
          <w:tcPr>
            <w:tcW w:w="1276" w:type="dxa"/>
            <w:vAlign w:val="center"/>
          </w:tcPr>
          <w:p w:rsidR="0060610D" w:rsidRPr="00C876C5" w:rsidRDefault="0060610D" w:rsidP="003E779A">
            <w:pPr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C876C5">
              <w:rPr>
                <w:rFonts w:ascii="黑体" w:eastAsia="黑体" w:hAnsi="黑体" w:cs="Times New Roman" w:hint="eastAsia"/>
                <w:szCs w:val="32"/>
              </w:rPr>
              <w:t>检查人</w:t>
            </w:r>
          </w:p>
          <w:p w:rsidR="0060610D" w:rsidRPr="00C876C5" w:rsidRDefault="0060610D" w:rsidP="003E779A">
            <w:pPr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C876C5">
              <w:rPr>
                <w:rFonts w:ascii="黑体" w:eastAsia="黑体" w:hAnsi="黑体" w:cs="Times New Roman"/>
                <w:szCs w:val="32"/>
              </w:rPr>
              <w:t>签字</w:t>
            </w:r>
          </w:p>
        </w:tc>
        <w:tc>
          <w:tcPr>
            <w:tcW w:w="1308" w:type="dxa"/>
            <w:vAlign w:val="center"/>
          </w:tcPr>
          <w:p w:rsidR="0060610D" w:rsidRPr="00C876C5" w:rsidRDefault="0060610D" w:rsidP="003E779A">
            <w:pPr>
              <w:spacing w:line="440" w:lineRule="exact"/>
              <w:ind w:firstLineChars="0" w:firstLine="0"/>
              <w:jc w:val="center"/>
              <w:rPr>
                <w:rFonts w:ascii="黑体" w:eastAsia="黑体" w:hAnsi="黑体" w:cs="Times New Roman"/>
                <w:szCs w:val="32"/>
              </w:rPr>
            </w:pPr>
            <w:r w:rsidRPr="00C876C5">
              <w:rPr>
                <w:rFonts w:ascii="黑体" w:eastAsia="黑体" w:hAnsi="黑体" w:cs="Times New Roman" w:hint="eastAsia"/>
                <w:szCs w:val="32"/>
              </w:rPr>
              <w:t>负责人</w:t>
            </w:r>
            <w:r w:rsidRPr="00C876C5">
              <w:rPr>
                <w:rFonts w:ascii="黑体" w:eastAsia="黑体" w:hAnsi="黑体" w:cs="Times New Roman"/>
                <w:szCs w:val="32"/>
              </w:rPr>
              <w:t>签字</w:t>
            </w:r>
          </w:p>
        </w:tc>
      </w:tr>
      <w:tr w:rsidR="0060610D" w:rsidRPr="00C876C5" w:rsidTr="003E779A">
        <w:trPr>
          <w:trHeight w:val="1127"/>
        </w:trPr>
        <w:tc>
          <w:tcPr>
            <w:tcW w:w="1101" w:type="dxa"/>
            <w:gridSpan w:val="2"/>
            <w:vMerge w:val="restart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Times New Roman"/>
                <w:sz w:val="28"/>
              </w:rPr>
            </w:pPr>
            <w:r w:rsidRPr="00C876C5">
              <w:rPr>
                <w:rFonts w:ascii="仿宋_GB2312" w:hAnsi="宋体" w:cs="Times New Roman" w:hint="eastAsia"/>
                <w:sz w:val="28"/>
              </w:rPr>
              <w:t>规定制度</w:t>
            </w:r>
            <w:r w:rsidRPr="00C876C5">
              <w:rPr>
                <w:rFonts w:ascii="仿宋_GB2312" w:hAnsi="宋体" w:cs="Times New Roman"/>
                <w:sz w:val="28"/>
              </w:rPr>
              <w:t>及安全措施</w:t>
            </w:r>
            <w:r w:rsidRPr="00C876C5">
              <w:rPr>
                <w:rFonts w:ascii="仿宋_GB2312" w:hAnsi="宋体" w:cs="Times New Roman" w:hint="eastAsia"/>
                <w:sz w:val="28"/>
              </w:rPr>
              <w:t>落实方面</w:t>
            </w:r>
          </w:p>
        </w:tc>
        <w:tc>
          <w:tcPr>
            <w:tcW w:w="1559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Times New Roman"/>
                <w:sz w:val="28"/>
              </w:rPr>
            </w:pP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本部门</w:t>
            </w: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>（单位）</w:t>
            </w: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职责范围内消防安全管理具体实施情况</w:t>
            </w:r>
          </w:p>
        </w:tc>
        <w:tc>
          <w:tcPr>
            <w:tcW w:w="5528" w:type="dxa"/>
            <w:vAlign w:val="center"/>
          </w:tcPr>
          <w:p w:rsidR="0060610D" w:rsidRPr="00C876C5" w:rsidRDefault="0060610D" w:rsidP="003E779A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已制定完善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本部门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（单位）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职责范围内消防安全工作计划</w:t>
            </w:r>
          </w:p>
          <w:p w:rsidR="0060610D" w:rsidRPr="00C876C5" w:rsidRDefault="0060610D" w:rsidP="003E779A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未制定或不完善</w:t>
            </w:r>
          </w:p>
          <w:p w:rsidR="0060610D" w:rsidRPr="00C876C5" w:rsidRDefault="0060610D" w:rsidP="003E779A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定期、随机开展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消防安全监督检查及安全隐患整改工作</w:t>
            </w:r>
          </w:p>
          <w:p w:rsidR="0060610D" w:rsidRPr="00C876C5" w:rsidRDefault="0060610D" w:rsidP="003E779A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□未开展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或开展不及时、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整改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不彻底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□定期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组织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消防宣传教育培训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□未组织或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参加人员不齐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已制定完善的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火灾事故应急处置预案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未制定或具体细则不完善</w:t>
            </w:r>
          </w:p>
        </w:tc>
        <w:tc>
          <w:tcPr>
            <w:tcW w:w="1134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60610D" w:rsidRPr="00C876C5" w:rsidTr="003E779A">
        <w:trPr>
          <w:trHeight w:val="1073"/>
        </w:trPr>
        <w:tc>
          <w:tcPr>
            <w:tcW w:w="1101" w:type="dxa"/>
            <w:gridSpan w:val="2"/>
            <w:vMerge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FangSong_GB2312-Identity-H"/>
                <w:kern w:val="0"/>
                <w:sz w:val="21"/>
                <w:szCs w:val="21"/>
              </w:rPr>
            </w:pP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本岗位</w:t>
            </w: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>消防</w:t>
            </w: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安全员情况</w:t>
            </w:r>
          </w:p>
        </w:tc>
        <w:tc>
          <w:tcPr>
            <w:tcW w:w="552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岗位消防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安全员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□已</w:t>
            </w:r>
            <w:proofErr w:type="gramStart"/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明确□</w:t>
            </w:r>
            <w:proofErr w:type="gramEnd"/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未明确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□熟悉本</w:t>
            </w:r>
            <w:proofErr w:type="gramStart"/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房间消防</w:t>
            </w:r>
            <w:proofErr w:type="gramEnd"/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风险因素及危害，掌握消防技能□不熟悉或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不掌握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及时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管理火源、电源和易燃易爆危险品□管理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缺失或不到位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□及时纠正和制止违章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用电动火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行为□未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纠正或不及时</w:t>
            </w:r>
          </w:p>
        </w:tc>
        <w:tc>
          <w:tcPr>
            <w:tcW w:w="1134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60610D" w:rsidRPr="00C876C5" w:rsidTr="003E779A">
        <w:trPr>
          <w:trHeight w:val="1073"/>
        </w:trPr>
        <w:tc>
          <w:tcPr>
            <w:tcW w:w="1101" w:type="dxa"/>
            <w:gridSpan w:val="2"/>
            <w:vMerge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FangSong_GB2312-Identity-H"/>
                <w:kern w:val="0"/>
                <w:sz w:val="21"/>
                <w:szCs w:val="21"/>
              </w:rPr>
            </w:pP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举办大型活动</w:t>
            </w: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>或展览</w:t>
            </w: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相关</w:t>
            </w: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>消防措施落实情况</w:t>
            </w:r>
          </w:p>
        </w:tc>
        <w:tc>
          <w:tcPr>
            <w:tcW w:w="552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□依规履行报批手续，确定专人负责消防安全工作，明确并落实消防安全职责和措施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□活动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或展览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场所符合消防安全规范要求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已</w:t>
            </w:r>
            <w:r w:rsidRPr="00C876C5">
              <w:rPr>
                <w:rFonts w:ascii="仿宋_GB2312" w:hAnsi="宋体" w:cs="FangSong_GB2312-Identity-H" w:hint="eastAsia"/>
                <w:kern w:val="0"/>
                <w:sz w:val="18"/>
                <w:szCs w:val="18"/>
              </w:rPr>
              <w:t>制定消防应急预案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□上述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要求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未落实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或落实不到位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lastRenderedPageBreak/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未举办大型活动或展览</w:t>
            </w:r>
          </w:p>
        </w:tc>
        <w:tc>
          <w:tcPr>
            <w:tcW w:w="1134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60610D" w:rsidRPr="00C876C5" w:rsidTr="003E779A">
        <w:trPr>
          <w:trHeight w:val="1073"/>
        </w:trPr>
        <w:tc>
          <w:tcPr>
            <w:tcW w:w="1101" w:type="dxa"/>
            <w:gridSpan w:val="2"/>
            <w:vMerge w:val="restart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Times New Roman"/>
                <w:sz w:val="28"/>
              </w:rPr>
            </w:pPr>
            <w:r w:rsidRPr="00C876C5">
              <w:rPr>
                <w:rFonts w:ascii="仿宋_GB2312" w:hAnsi="宋体" w:cs="Times New Roman" w:hint="eastAsia"/>
                <w:sz w:val="28"/>
              </w:rPr>
              <w:lastRenderedPageBreak/>
              <w:t>日常</w:t>
            </w:r>
            <w:r w:rsidRPr="00C876C5">
              <w:rPr>
                <w:rFonts w:ascii="仿宋_GB2312" w:hAnsi="宋体" w:cs="Times New Roman"/>
                <w:sz w:val="28"/>
              </w:rPr>
              <w:t>防火及危化品</w:t>
            </w:r>
            <w:r w:rsidRPr="00C876C5">
              <w:rPr>
                <w:rFonts w:ascii="仿宋_GB2312" w:hAnsi="宋体" w:cs="Times New Roman" w:hint="eastAsia"/>
                <w:sz w:val="28"/>
              </w:rPr>
              <w:t>要求</w:t>
            </w:r>
            <w:r w:rsidRPr="00C876C5">
              <w:rPr>
                <w:rFonts w:ascii="仿宋_GB2312" w:hAnsi="宋体" w:cs="Times New Roman"/>
                <w:sz w:val="28"/>
              </w:rPr>
              <w:t>方面</w:t>
            </w:r>
          </w:p>
        </w:tc>
        <w:tc>
          <w:tcPr>
            <w:tcW w:w="1559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Times New Roman"/>
                <w:sz w:val="28"/>
              </w:rPr>
            </w:pP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用火、用电情况</w:t>
            </w:r>
          </w:p>
        </w:tc>
        <w:tc>
          <w:tcPr>
            <w:tcW w:w="5528" w:type="dxa"/>
            <w:vAlign w:val="center"/>
          </w:tcPr>
          <w:p w:rsidR="0060610D" w:rsidRPr="00C876C5" w:rsidRDefault="0060610D" w:rsidP="003E779A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动用明火作业（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动火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、动焊、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热切割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等）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施工已审批□未审批□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未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动用明火</w:t>
            </w:r>
          </w:p>
          <w:p w:rsidR="0060610D" w:rsidRPr="00C876C5" w:rsidRDefault="0060610D" w:rsidP="003E779A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□烟道清洗符合要求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，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留存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详细清洗记录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□不符合要求□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无此项</w:t>
            </w:r>
          </w:p>
          <w:p w:rsidR="0060610D" w:rsidRPr="00C876C5" w:rsidRDefault="0060610D" w:rsidP="003E779A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□随意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私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拉乱接电线</w:t>
            </w:r>
          </w:p>
          <w:p w:rsidR="0060610D" w:rsidRPr="00C876C5" w:rsidRDefault="0060610D" w:rsidP="003E779A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违规使用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电器设备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，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尤其是大功率电器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□电器设备周围与可燃物未保持0.5m以上间距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使用不合</w:t>
            </w:r>
            <w:proofErr w:type="gramStart"/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规</w:t>
            </w:r>
            <w:proofErr w:type="gramEnd"/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、老化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破损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插排，</w:t>
            </w:r>
            <w:proofErr w:type="gramStart"/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或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将插排</w:t>
            </w:r>
            <w:proofErr w:type="gramEnd"/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串联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下班或离开房间时关闭计算机、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空调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等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用电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设备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废纸、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快递包装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等易燃物随意堆放情况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Times New Roman"/>
                <w:sz w:val="2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楼宇内存在吸烟行为</w:t>
            </w:r>
          </w:p>
        </w:tc>
        <w:tc>
          <w:tcPr>
            <w:tcW w:w="1134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60610D" w:rsidRPr="00C876C5" w:rsidTr="003E779A">
        <w:trPr>
          <w:trHeight w:val="1127"/>
        </w:trPr>
        <w:tc>
          <w:tcPr>
            <w:tcW w:w="1101" w:type="dxa"/>
            <w:gridSpan w:val="2"/>
            <w:vMerge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Times New Roman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Calibri" w:cs="FangSong_GB2312-Identity-H"/>
                <w:kern w:val="0"/>
                <w:sz w:val="21"/>
                <w:szCs w:val="21"/>
              </w:rPr>
            </w:pP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燃油、燃气等易燃易爆危险品使用是否符合有关国家消防技术标准要求</w:t>
            </w:r>
          </w:p>
        </w:tc>
        <w:tc>
          <w:tcPr>
            <w:tcW w:w="552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已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明确易燃易爆化学物品管理的责任部门和责任人□未明确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□易燃易爆危险品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使用和存放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符合要求□不符合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无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易燃易爆危险品</w:t>
            </w:r>
          </w:p>
        </w:tc>
        <w:tc>
          <w:tcPr>
            <w:tcW w:w="1134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60610D" w:rsidRPr="00C876C5" w:rsidTr="003E779A">
        <w:trPr>
          <w:cantSplit/>
          <w:trHeight w:val="1127"/>
        </w:trPr>
        <w:tc>
          <w:tcPr>
            <w:tcW w:w="1101" w:type="dxa"/>
            <w:gridSpan w:val="2"/>
            <w:vMerge w:val="restart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Times New Roman"/>
                <w:sz w:val="28"/>
              </w:rPr>
            </w:pPr>
            <w:r w:rsidRPr="00C876C5">
              <w:rPr>
                <w:rFonts w:ascii="仿宋_GB2312" w:hAnsi="宋体" w:cs="Times New Roman" w:hint="eastAsia"/>
                <w:sz w:val="28"/>
              </w:rPr>
              <w:t>消防设备</w:t>
            </w:r>
            <w:r w:rsidRPr="00C876C5">
              <w:rPr>
                <w:rFonts w:ascii="仿宋_GB2312" w:hAnsi="宋体" w:cs="Times New Roman"/>
                <w:sz w:val="28"/>
              </w:rPr>
              <w:t>设施</w:t>
            </w:r>
            <w:r w:rsidRPr="00C876C5">
              <w:rPr>
                <w:rFonts w:ascii="仿宋_GB2312" w:hAnsi="宋体" w:cs="Times New Roman" w:hint="eastAsia"/>
                <w:sz w:val="28"/>
              </w:rPr>
              <w:lastRenderedPageBreak/>
              <w:t>及</w:t>
            </w:r>
            <w:r w:rsidRPr="00C876C5">
              <w:rPr>
                <w:rFonts w:ascii="仿宋_GB2312" w:hAnsi="宋体" w:cs="Times New Roman"/>
                <w:sz w:val="28"/>
              </w:rPr>
              <w:t>器材标志方面</w:t>
            </w:r>
          </w:p>
        </w:tc>
        <w:tc>
          <w:tcPr>
            <w:tcW w:w="1559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Times New Roman"/>
                <w:sz w:val="28"/>
              </w:rPr>
            </w:pP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lastRenderedPageBreak/>
              <w:t>消防设施、</w:t>
            </w: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疏散通道、安全出口、</w:t>
            </w:r>
            <w:r w:rsidRPr="00C876C5">
              <w:rPr>
                <w:rFonts w:ascii="仿宋_GB2312" w:hAnsi="Calibri" w:cs="Times New Roman" w:hint="eastAsia"/>
                <w:sz w:val="21"/>
              </w:rPr>
              <w:t>防火卷帘门、</w:t>
            </w: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消防车</w:t>
            </w:r>
            <w:proofErr w:type="gramStart"/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道</w:t>
            </w: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>情况</w:t>
            </w:r>
            <w:proofErr w:type="gramEnd"/>
          </w:p>
        </w:tc>
        <w:tc>
          <w:tcPr>
            <w:tcW w:w="552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□每月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对所辖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区域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内的消防设施进行盘点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盘点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发现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缺失、破损、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锈蚀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等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问题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并及时上报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□未盘点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、盘点不及时或发现问题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未上报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遮挡消防设施，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占用、堵塞、封闭疏散通道、安全出口、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防火卷帘门、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消防车道□畅通</w:t>
            </w:r>
          </w:p>
        </w:tc>
        <w:tc>
          <w:tcPr>
            <w:tcW w:w="1134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60610D" w:rsidRPr="00C876C5" w:rsidTr="003E779A">
        <w:trPr>
          <w:trHeight w:val="1073"/>
        </w:trPr>
        <w:tc>
          <w:tcPr>
            <w:tcW w:w="1101" w:type="dxa"/>
            <w:gridSpan w:val="2"/>
            <w:vMerge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Calibri" w:cs="FangSong_GB2312-Identity-H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Calibri" w:cs="FangSong_GB2312-Identity-H"/>
                <w:kern w:val="0"/>
                <w:sz w:val="21"/>
                <w:szCs w:val="21"/>
              </w:rPr>
            </w:pP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安全疏散指示标志、应急照明</w:t>
            </w: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>、</w:t>
            </w: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灭火器材完好情况</w:t>
            </w:r>
          </w:p>
        </w:tc>
        <w:tc>
          <w:tcPr>
            <w:tcW w:w="552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安全疏散指示标志□完好、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无遮挡、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无覆盖□损坏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或脱落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消防应急照明□完好、有效□损坏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灭火器材□完好、有效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、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数量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齐全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□压力正常□压力不正常□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过期、丢失、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锈蚀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或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损坏</w:t>
            </w:r>
          </w:p>
        </w:tc>
        <w:tc>
          <w:tcPr>
            <w:tcW w:w="1134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60610D" w:rsidRPr="00C876C5" w:rsidTr="003E779A">
        <w:trPr>
          <w:trHeight w:val="1127"/>
        </w:trPr>
        <w:tc>
          <w:tcPr>
            <w:tcW w:w="1101" w:type="dxa"/>
            <w:gridSpan w:val="2"/>
            <w:vMerge w:val="restart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Calibri" w:cs="FangSong_GB2312-Identity-H"/>
                <w:kern w:val="0"/>
                <w:sz w:val="28"/>
                <w:szCs w:val="2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28"/>
                <w:szCs w:val="28"/>
              </w:rPr>
              <w:lastRenderedPageBreak/>
              <w:t>机动车</w:t>
            </w:r>
            <w:r w:rsidRPr="00C876C5">
              <w:rPr>
                <w:rFonts w:ascii="仿宋_GB2312" w:hAnsi="Calibri" w:cs="FangSong_GB2312-Identity-H"/>
                <w:kern w:val="0"/>
                <w:sz w:val="28"/>
                <w:szCs w:val="28"/>
              </w:rPr>
              <w:t>和非机动车管理方面</w:t>
            </w:r>
          </w:p>
        </w:tc>
        <w:tc>
          <w:tcPr>
            <w:tcW w:w="1559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Calibri" w:cs="FangSong_GB2312-Identity-H"/>
                <w:kern w:val="0"/>
                <w:sz w:val="21"/>
                <w:szCs w:val="21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21"/>
                <w:szCs w:val="21"/>
              </w:rPr>
              <w:t>机动车</w:t>
            </w:r>
            <w:r w:rsidRPr="00C876C5">
              <w:rPr>
                <w:rFonts w:ascii="仿宋_GB2312" w:hAnsi="Calibri" w:cs="FangSong_GB2312-Identity-H"/>
                <w:kern w:val="0"/>
                <w:sz w:val="21"/>
                <w:szCs w:val="21"/>
              </w:rPr>
              <w:t>停放情况</w:t>
            </w:r>
          </w:p>
        </w:tc>
        <w:tc>
          <w:tcPr>
            <w:tcW w:w="552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机动车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停放在校内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规划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的停车位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停放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位置占用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或堵塞消防疏散出口和消防通道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停放在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明确禁停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区域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□其他违规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停放及占道行为</w:t>
            </w:r>
          </w:p>
        </w:tc>
        <w:tc>
          <w:tcPr>
            <w:tcW w:w="1134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60610D" w:rsidRPr="00C876C5" w:rsidTr="003E779A">
        <w:trPr>
          <w:trHeight w:val="1127"/>
        </w:trPr>
        <w:tc>
          <w:tcPr>
            <w:tcW w:w="1101" w:type="dxa"/>
            <w:gridSpan w:val="2"/>
            <w:vMerge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FangSong_GB2312-Identity-H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FangSong_GB2312-Identity-H"/>
                <w:kern w:val="0"/>
                <w:sz w:val="21"/>
                <w:szCs w:val="21"/>
              </w:rPr>
            </w:pP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>电动自行车、</w:t>
            </w: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电动</w:t>
            </w: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>摩托车、</w:t>
            </w: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电动</w:t>
            </w: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>三轮车停放、</w:t>
            </w: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充电</w:t>
            </w: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>情况</w:t>
            </w:r>
          </w:p>
        </w:tc>
        <w:tc>
          <w:tcPr>
            <w:tcW w:w="552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电动自行车、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电动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摩托车、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电动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三轮车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停放在校内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规划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的停车位或停车棚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停放在消防疏散出口和消防通道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□停放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在楼道或室内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□停放在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楼宇内充电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□电池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放在楼道或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办公场所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充电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□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其他违规停放</w:t>
            </w:r>
            <w:r w:rsidRPr="00C876C5">
              <w:rPr>
                <w:rFonts w:ascii="仿宋_GB2312" w:hAnsi="Calibri" w:cs="FangSong_GB2312-Identity-H" w:hint="eastAsia"/>
                <w:kern w:val="0"/>
                <w:sz w:val="18"/>
                <w:szCs w:val="18"/>
              </w:rPr>
              <w:t>和</w:t>
            </w:r>
            <w:r w:rsidRPr="00C876C5">
              <w:rPr>
                <w:rFonts w:ascii="仿宋_GB2312" w:hAnsi="Calibri" w:cs="FangSong_GB2312-Identity-H"/>
                <w:kern w:val="0"/>
                <w:sz w:val="18"/>
                <w:szCs w:val="18"/>
              </w:rPr>
              <w:t>充电行为</w:t>
            </w:r>
          </w:p>
        </w:tc>
        <w:tc>
          <w:tcPr>
            <w:tcW w:w="1134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60610D" w:rsidRPr="00C876C5" w:rsidTr="003E779A">
        <w:trPr>
          <w:trHeight w:val="1002"/>
        </w:trPr>
        <w:tc>
          <w:tcPr>
            <w:tcW w:w="1101" w:type="dxa"/>
            <w:gridSpan w:val="2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仿宋_GB2312" w:hAnsi="宋体" w:cs="FangSong_GB2312-Identity-H"/>
                <w:kern w:val="0"/>
                <w:sz w:val="28"/>
                <w:szCs w:val="28"/>
              </w:rPr>
            </w:pPr>
            <w:r w:rsidRPr="00C876C5">
              <w:rPr>
                <w:rFonts w:ascii="仿宋_GB2312" w:hAnsi="宋体" w:cs="FangSong_GB2312-Identity-H" w:hint="eastAsia"/>
                <w:kern w:val="0"/>
                <w:sz w:val="28"/>
                <w:szCs w:val="28"/>
              </w:rPr>
              <w:t>其他</w:t>
            </w:r>
          </w:p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FangSong_GB2312-Identity-H" w:eastAsia="FangSong_GB2312-Identity-H" w:hAnsi="Calibri" w:cs="FangSong_GB2312-Identity-H"/>
                <w:kern w:val="0"/>
                <w:sz w:val="28"/>
                <w:szCs w:val="28"/>
              </w:rPr>
            </w:pPr>
            <w:r w:rsidRPr="00C876C5">
              <w:rPr>
                <w:rFonts w:ascii="仿宋_GB2312" w:hAnsi="宋体" w:cs="FangSong_GB2312-Identity-H" w:hint="eastAsia"/>
                <w:kern w:val="0"/>
                <w:sz w:val="28"/>
                <w:szCs w:val="28"/>
              </w:rPr>
              <w:t>方面</w:t>
            </w:r>
          </w:p>
        </w:tc>
        <w:tc>
          <w:tcPr>
            <w:tcW w:w="1559" w:type="dxa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552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left"/>
              <w:rPr>
                <w:rFonts w:ascii="仿宋_GB2312" w:hAnsi="Calibri" w:cs="FangSong_GB2312-Identity-H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1308" w:type="dxa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60610D" w:rsidRPr="00C876C5" w:rsidTr="003E779A">
        <w:trPr>
          <w:trHeight w:val="691"/>
        </w:trPr>
        <w:tc>
          <w:tcPr>
            <w:tcW w:w="836" w:type="dxa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left"/>
              <w:rPr>
                <w:rFonts w:ascii="仿宋_GB2312" w:hAnsi="宋体" w:cs="FangSong_GB2312-Identity-H"/>
                <w:kern w:val="0"/>
                <w:sz w:val="21"/>
                <w:szCs w:val="21"/>
              </w:rPr>
            </w:pPr>
          </w:p>
        </w:tc>
        <w:tc>
          <w:tcPr>
            <w:tcW w:w="13338" w:type="dxa"/>
            <w:gridSpan w:val="7"/>
            <w:vAlign w:val="center"/>
          </w:tcPr>
          <w:p w:rsidR="0060610D" w:rsidRPr="00C876C5" w:rsidRDefault="0060610D" w:rsidP="003E779A">
            <w:pPr>
              <w:spacing w:line="240" w:lineRule="auto"/>
              <w:ind w:firstLineChars="0" w:firstLine="0"/>
              <w:jc w:val="left"/>
              <w:rPr>
                <w:rFonts w:ascii="仿宋_GB2312" w:hAnsi="宋体" w:cs="FangSong_GB2312-Identity-H"/>
                <w:kern w:val="0"/>
                <w:sz w:val="21"/>
                <w:szCs w:val="21"/>
              </w:rPr>
            </w:pP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注：</w:t>
            </w: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 xml:space="preserve">1. </w:t>
            </w:r>
            <w:r w:rsidRPr="00C876C5">
              <w:rPr>
                <w:rFonts w:ascii="仿宋_GB2312" w:hAnsi="宋体" w:cs="FangSong_GB2312-Identity-H" w:hint="eastAsia"/>
                <w:b/>
                <w:kern w:val="0"/>
                <w:sz w:val="21"/>
                <w:szCs w:val="21"/>
              </w:rPr>
              <w:t>各部门</w:t>
            </w:r>
            <w:r w:rsidRPr="00C876C5">
              <w:rPr>
                <w:rFonts w:ascii="仿宋_GB2312" w:hAnsi="宋体" w:cs="FangSong_GB2312-Identity-H"/>
                <w:b/>
                <w:kern w:val="0"/>
                <w:sz w:val="21"/>
                <w:szCs w:val="21"/>
              </w:rPr>
              <w:t>、各单位</w:t>
            </w:r>
            <w:r w:rsidRPr="00C876C5">
              <w:rPr>
                <w:rFonts w:ascii="仿宋_GB2312" w:hAnsi="宋体" w:cs="FangSong_GB2312-Identity-H" w:hint="eastAsia"/>
                <w:b/>
                <w:kern w:val="0"/>
                <w:sz w:val="21"/>
                <w:szCs w:val="21"/>
              </w:rPr>
              <w:t>消防</w:t>
            </w:r>
            <w:r w:rsidRPr="00C876C5">
              <w:rPr>
                <w:rFonts w:ascii="仿宋_GB2312" w:hAnsi="宋体" w:cs="FangSong_GB2312-Identity-H"/>
                <w:b/>
                <w:kern w:val="0"/>
                <w:sz w:val="21"/>
                <w:szCs w:val="21"/>
              </w:rPr>
              <w:t>巡查</w:t>
            </w:r>
            <w:r w:rsidRPr="00C876C5">
              <w:rPr>
                <w:rFonts w:ascii="仿宋_GB2312" w:hAnsi="宋体" w:cs="FangSong_GB2312-Identity-H" w:hint="eastAsia"/>
                <w:b/>
                <w:kern w:val="0"/>
                <w:sz w:val="21"/>
                <w:szCs w:val="21"/>
              </w:rPr>
              <w:t>应每周</w:t>
            </w:r>
            <w:r w:rsidRPr="00C876C5">
              <w:rPr>
                <w:rFonts w:ascii="仿宋_GB2312" w:hAnsi="宋体" w:cs="FangSong_GB2312-Identity-H"/>
                <w:b/>
                <w:kern w:val="0"/>
                <w:sz w:val="21"/>
                <w:szCs w:val="21"/>
              </w:rPr>
              <w:t>开展</w:t>
            </w:r>
            <w:r w:rsidRPr="00C876C5">
              <w:rPr>
                <w:rFonts w:ascii="仿宋_GB2312" w:hAnsi="宋体" w:cs="FangSong_GB2312-Identity-H" w:hint="eastAsia"/>
                <w:b/>
                <w:kern w:val="0"/>
                <w:sz w:val="21"/>
                <w:szCs w:val="21"/>
              </w:rPr>
              <w:t>一次，</w:t>
            </w:r>
            <w:r w:rsidRPr="00C876C5">
              <w:rPr>
                <w:rFonts w:ascii="仿宋_GB2312" w:hAnsi="宋体" w:cs="FangSong_GB2312-Identity-H"/>
                <w:b/>
                <w:kern w:val="0"/>
                <w:sz w:val="21"/>
                <w:szCs w:val="21"/>
              </w:rPr>
              <w:t>所辖的消防重点部位应每</w:t>
            </w:r>
            <w:r w:rsidRPr="00C876C5">
              <w:rPr>
                <w:rFonts w:ascii="仿宋_GB2312" w:hAnsi="宋体" w:cs="FangSong_GB2312-Identity-H" w:hint="eastAsia"/>
                <w:b/>
                <w:kern w:val="0"/>
                <w:sz w:val="21"/>
                <w:szCs w:val="21"/>
              </w:rPr>
              <w:t>日巡查</w:t>
            </w:r>
            <w:r w:rsidRPr="00C876C5">
              <w:rPr>
                <w:rFonts w:ascii="仿宋_GB2312" w:hAnsi="宋体" w:cs="FangSong_GB2312-Identity-H"/>
                <w:b/>
                <w:kern w:val="0"/>
                <w:sz w:val="21"/>
                <w:szCs w:val="21"/>
              </w:rPr>
              <w:t>一次，</w:t>
            </w:r>
            <w:r w:rsidRPr="00C876C5">
              <w:rPr>
                <w:rFonts w:ascii="仿宋_GB2312" w:hAnsi="宋体" w:cs="FangSong_GB2312-Identity-H" w:hint="eastAsia"/>
                <w:b/>
                <w:kern w:val="0"/>
                <w:sz w:val="21"/>
                <w:szCs w:val="21"/>
              </w:rPr>
              <w:t>检查完毕后由负责人鉴字存档。</w:t>
            </w:r>
          </w:p>
          <w:p w:rsidR="0060610D" w:rsidRPr="00C876C5" w:rsidRDefault="0060610D" w:rsidP="003E779A">
            <w:pPr>
              <w:spacing w:line="240" w:lineRule="auto"/>
              <w:ind w:firstLine="420"/>
              <w:jc w:val="left"/>
              <w:rPr>
                <w:rFonts w:ascii="仿宋_GB2312" w:hAnsi="宋体" w:cs="FangSong_GB2312-Identity-H"/>
                <w:kern w:val="0"/>
                <w:sz w:val="21"/>
                <w:szCs w:val="21"/>
              </w:rPr>
            </w:pP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 xml:space="preserve">2. </w:t>
            </w: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检查情况在所列“□”项目中情况正常打“√”。</w:t>
            </w:r>
          </w:p>
          <w:p w:rsidR="0060610D" w:rsidRPr="00C876C5" w:rsidRDefault="0060610D" w:rsidP="003E779A">
            <w:pPr>
              <w:spacing w:line="240" w:lineRule="auto"/>
              <w:ind w:firstLine="420"/>
              <w:jc w:val="left"/>
              <w:rPr>
                <w:rFonts w:ascii="仿宋_GB2312" w:hAnsi="宋体" w:cs="FangSong_GB2312-Identity-H"/>
                <w:kern w:val="0"/>
                <w:sz w:val="21"/>
                <w:szCs w:val="21"/>
              </w:rPr>
            </w:pP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 xml:space="preserve">3. </w:t>
            </w: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对</w:t>
            </w:r>
            <w:r w:rsidRPr="00C876C5">
              <w:rPr>
                <w:rFonts w:ascii="仿宋_GB2312" w:hAnsi="宋体" w:cs="FangSong_GB2312-Identity-H"/>
                <w:kern w:val="0"/>
                <w:sz w:val="21"/>
                <w:szCs w:val="21"/>
              </w:rPr>
              <w:t>检查</w:t>
            </w:r>
            <w:r w:rsidRPr="00C876C5">
              <w:rPr>
                <w:rFonts w:ascii="仿宋_GB2312" w:hAnsi="宋体" w:cs="FangSong_GB2312-Identity-H" w:hint="eastAsia"/>
                <w:kern w:val="0"/>
                <w:sz w:val="21"/>
                <w:szCs w:val="21"/>
              </w:rPr>
              <w:t>发现的问题要详实注明并及时处置，无法当场处置的要立即报告，并在记录中注明。</w:t>
            </w:r>
          </w:p>
        </w:tc>
      </w:tr>
    </w:tbl>
    <w:p w:rsidR="0060610D" w:rsidRPr="00C876C5" w:rsidRDefault="0060610D" w:rsidP="0060610D">
      <w:pPr>
        <w:ind w:firstLineChars="0" w:firstLine="0"/>
      </w:pPr>
    </w:p>
    <w:p w:rsidR="00985AEC" w:rsidRPr="0060610D" w:rsidRDefault="00985AEC">
      <w:pPr>
        <w:ind w:firstLine="640"/>
      </w:pPr>
    </w:p>
    <w:sectPr w:rsidR="00985AEC" w:rsidRPr="0060610D" w:rsidSect="001953C1">
      <w:headerReference w:type="default" r:id="rId4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-Identity-H">
    <w:altName w:val="Malgun Gothic Semilight"/>
    <w:charset w:val="88"/>
    <w:family w:val="auto"/>
    <w:pitch w:val="variable"/>
    <w:sig w:usb0="00000000" w:usb1="080E0000" w:usb2="00000010" w:usb3="00000000" w:csb0="001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3C1" w:rsidRDefault="0060610D" w:rsidP="001953C1">
    <w:pPr>
      <w:pStyle w:val="a3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0D"/>
    <w:rsid w:val="0060610D"/>
    <w:rsid w:val="0098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16F35-A0AA-4370-AC26-957614EC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材料正文"/>
    <w:qFormat/>
    <w:rsid w:val="0060610D"/>
    <w:pPr>
      <w:widowControl w:val="0"/>
      <w:spacing w:line="58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610D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lijingzheng</dc:creator>
  <cp:keywords/>
  <dc:description/>
  <cp:lastModifiedBy>lijingzheng</cp:lastModifiedBy>
  <cp:revision>1</cp:revision>
  <dcterms:created xsi:type="dcterms:W3CDTF">2020-09-21T08:55:00Z</dcterms:created>
  <dcterms:modified xsi:type="dcterms:W3CDTF">2020-09-21T08:56:00Z</dcterms:modified>
</cp:coreProperties>
</file>