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C257A3">
      <w:pPr>
        <w:ind w:firstLine="0" w:firstLineChars="0"/>
        <w:jc w:val="center"/>
        <w:rPr>
          <w:b/>
          <w:bCs/>
          <w:sz w:val="32"/>
          <w:szCs w:val="32"/>
        </w:rPr>
      </w:pPr>
      <w:bookmarkStart w:id="36" w:name="_GoBack"/>
      <w:bookmarkEnd w:id="36"/>
    </w:p>
    <w:p w14:paraId="5BA8BE89">
      <w:pPr>
        <w:ind w:firstLine="0" w:firstLineChars="0"/>
        <w:jc w:val="center"/>
        <w:rPr>
          <w:b/>
          <w:bCs/>
          <w:sz w:val="32"/>
          <w:szCs w:val="32"/>
        </w:rPr>
      </w:pPr>
    </w:p>
    <w:p w14:paraId="73A2820E">
      <w:pPr>
        <w:ind w:firstLine="0" w:firstLineChars="0"/>
        <w:jc w:val="center"/>
        <w:rPr>
          <w:b/>
          <w:bCs/>
          <w:sz w:val="32"/>
          <w:szCs w:val="32"/>
        </w:rPr>
      </w:pPr>
    </w:p>
    <w:p w14:paraId="3C644FB1">
      <w:pPr>
        <w:ind w:firstLine="0" w:firstLineChars="0"/>
        <w:jc w:val="center"/>
        <w:rPr>
          <w:b/>
          <w:bCs/>
          <w:sz w:val="32"/>
          <w:szCs w:val="32"/>
        </w:rPr>
      </w:pPr>
      <w:r>
        <w:rPr>
          <w:b/>
          <w:bCs/>
          <w:sz w:val="32"/>
          <w:szCs w:val="32"/>
        </w:rPr>
        <w:t>北京建筑大学大兴校区</w:t>
      </w:r>
    </w:p>
    <w:p w14:paraId="6F5215D6">
      <w:pPr>
        <w:ind w:firstLine="0" w:firstLineChars="0"/>
        <w:jc w:val="center"/>
        <w:rPr>
          <w:b/>
          <w:bCs/>
          <w:sz w:val="32"/>
          <w:szCs w:val="32"/>
        </w:rPr>
      </w:pPr>
      <w:r>
        <w:rPr>
          <w:b/>
          <w:bCs/>
          <w:sz w:val="32"/>
          <w:szCs w:val="32"/>
        </w:rPr>
        <w:t>校园停车场外包服务比选文件</w:t>
      </w:r>
    </w:p>
    <w:p w14:paraId="3B1C9918">
      <w:pPr>
        <w:ind w:firstLine="0" w:firstLineChars="0"/>
        <w:jc w:val="center"/>
        <w:rPr>
          <w:b/>
          <w:bCs/>
          <w:sz w:val="32"/>
          <w:szCs w:val="32"/>
        </w:rPr>
      </w:pPr>
    </w:p>
    <w:p w14:paraId="532A0C5A">
      <w:pPr>
        <w:ind w:firstLine="0" w:firstLineChars="0"/>
        <w:jc w:val="center"/>
        <w:rPr>
          <w:b/>
          <w:bCs/>
          <w:sz w:val="32"/>
          <w:szCs w:val="32"/>
        </w:rPr>
      </w:pPr>
    </w:p>
    <w:p w14:paraId="0F28C259">
      <w:pPr>
        <w:ind w:firstLine="0" w:firstLineChars="0"/>
        <w:jc w:val="center"/>
        <w:rPr>
          <w:b/>
          <w:bCs/>
          <w:sz w:val="32"/>
          <w:szCs w:val="32"/>
        </w:rPr>
      </w:pPr>
    </w:p>
    <w:p w14:paraId="29B48828">
      <w:pPr>
        <w:ind w:firstLine="0" w:firstLineChars="0"/>
        <w:jc w:val="center"/>
        <w:rPr>
          <w:b/>
          <w:bCs/>
          <w:sz w:val="32"/>
          <w:szCs w:val="32"/>
        </w:rPr>
      </w:pPr>
    </w:p>
    <w:p w14:paraId="0DD82660">
      <w:pPr>
        <w:ind w:firstLine="0" w:firstLineChars="0"/>
        <w:jc w:val="center"/>
        <w:rPr>
          <w:b/>
          <w:bCs/>
          <w:sz w:val="32"/>
          <w:szCs w:val="32"/>
        </w:rPr>
      </w:pPr>
    </w:p>
    <w:p w14:paraId="3844DB0F">
      <w:pPr>
        <w:ind w:firstLine="0" w:firstLineChars="0"/>
        <w:jc w:val="center"/>
        <w:rPr>
          <w:b/>
          <w:bCs/>
          <w:sz w:val="32"/>
          <w:szCs w:val="32"/>
        </w:rPr>
      </w:pPr>
    </w:p>
    <w:p w14:paraId="4494B267">
      <w:pPr>
        <w:ind w:firstLine="0" w:firstLineChars="0"/>
        <w:jc w:val="center"/>
        <w:rPr>
          <w:b/>
          <w:bCs/>
          <w:sz w:val="32"/>
          <w:szCs w:val="32"/>
        </w:rPr>
      </w:pPr>
    </w:p>
    <w:p w14:paraId="178CFF19">
      <w:pPr>
        <w:ind w:firstLine="0" w:firstLineChars="0"/>
        <w:jc w:val="center"/>
        <w:rPr>
          <w:b/>
          <w:bCs/>
          <w:sz w:val="32"/>
          <w:szCs w:val="32"/>
        </w:rPr>
      </w:pPr>
    </w:p>
    <w:p w14:paraId="17232838">
      <w:pPr>
        <w:ind w:firstLine="0" w:firstLineChars="0"/>
        <w:jc w:val="center"/>
        <w:rPr>
          <w:b/>
          <w:bCs/>
          <w:sz w:val="32"/>
          <w:szCs w:val="32"/>
        </w:rPr>
      </w:pPr>
      <w:r>
        <w:rPr>
          <w:rFonts w:hint="eastAsia"/>
          <w:b/>
          <w:bCs/>
          <w:sz w:val="32"/>
          <w:szCs w:val="32"/>
        </w:rPr>
        <w:t>采购人：北京建筑大学</w:t>
      </w:r>
    </w:p>
    <w:p w14:paraId="3ACAA06B">
      <w:pPr>
        <w:ind w:firstLine="0" w:firstLineChars="0"/>
        <w:jc w:val="center"/>
        <w:rPr>
          <w:b/>
          <w:bCs/>
          <w:sz w:val="32"/>
          <w:szCs w:val="32"/>
        </w:rPr>
      </w:pPr>
      <w:r>
        <w:rPr>
          <w:rFonts w:hint="eastAsia"/>
          <w:b/>
          <w:bCs/>
          <w:sz w:val="32"/>
          <w:szCs w:val="32"/>
        </w:rPr>
        <w:t>日期：2025年</w:t>
      </w:r>
      <w:r>
        <w:rPr>
          <w:b/>
          <w:bCs/>
          <w:sz w:val="32"/>
          <w:szCs w:val="32"/>
        </w:rPr>
        <w:t>12</w:t>
      </w:r>
      <w:r>
        <w:rPr>
          <w:rFonts w:hint="eastAsia"/>
          <w:b/>
          <w:bCs/>
          <w:sz w:val="32"/>
          <w:szCs w:val="32"/>
        </w:rPr>
        <w:t>月</w:t>
      </w:r>
      <w:r>
        <w:rPr>
          <w:b/>
          <w:bCs/>
          <w:sz w:val="32"/>
          <w:szCs w:val="32"/>
        </w:rPr>
        <w:t>1</w:t>
      </w:r>
      <w:r>
        <w:rPr>
          <w:rFonts w:hint="eastAsia"/>
          <w:b/>
          <w:bCs/>
          <w:sz w:val="32"/>
          <w:szCs w:val="32"/>
        </w:rPr>
        <w:t>日</w:t>
      </w:r>
    </w:p>
    <w:p w14:paraId="0A790BEE">
      <w:pPr>
        <w:ind w:firstLine="643"/>
        <w:rPr>
          <w:b/>
          <w:bCs/>
          <w:sz w:val="32"/>
          <w:szCs w:val="32"/>
        </w:rPr>
      </w:pPr>
      <w:r>
        <w:rPr>
          <w:rFonts w:hint="eastAsia"/>
          <w:b/>
          <w:bCs/>
          <w:sz w:val="32"/>
          <w:szCs w:val="32"/>
        </w:rPr>
        <w:br w:type="page"/>
      </w:r>
    </w:p>
    <w:p w14:paraId="60CB61E1">
      <w:pPr>
        <w:pStyle w:val="2"/>
        <w:ind w:firstLine="562"/>
      </w:pPr>
      <w:bookmarkStart w:id="0" w:name="_Toc278727935"/>
      <w:r>
        <w:t>项目基本情况</w:t>
      </w:r>
      <w:bookmarkEnd w:id="0"/>
    </w:p>
    <w:p w14:paraId="7576EC52">
      <w:pPr>
        <w:pStyle w:val="3"/>
        <w:ind w:firstLine="562"/>
      </w:pPr>
      <w:bookmarkStart w:id="1" w:name="_Toc2095856947"/>
      <w:r>
        <w:rPr>
          <w:rFonts w:hint="eastAsia"/>
        </w:rPr>
        <w:t>项目名称</w:t>
      </w:r>
      <w:bookmarkEnd w:id="1"/>
    </w:p>
    <w:p w14:paraId="6E550218">
      <w:pPr>
        <w:ind w:firstLine="480"/>
      </w:pPr>
      <w:r>
        <w:rPr>
          <w:rFonts w:hint="eastAsia"/>
        </w:rPr>
        <w:t>北京建筑大学大兴校区校园停车场外包服务比选文件</w:t>
      </w:r>
    </w:p>
    <w:p w14:paraId="4E3E39BF">
      <w:pPr>
        <w:pStyle w:val="3"/>
        <w:ind w:firstLine="562"/>
      </w:pPr>
      <w:bookmarkStart w:id="2" w:name="_Toc592774308"/>
      <w:r>
        <w:rPr>
          <w:rFonts w:hint="eastAsia"/>
        </w:rPr>
        <w:t>采购方式</w:t>
      </w:r>
      <w:bookmarkEnd w:id="2"/>
    </w:p>
    <w:p w14:paraId="443A24EF">
      <w:pPr>
        <w:ind w:firstLine="480"/>
      </w:pPr>
      <w:r>
        <w:rPr>
          <w:rFonts w:hint="eastAsia"/>
        </w:rPr>
        <w:t>本次项目采用比选方式进行采购。</w:t>
      </w:r>
    </w:p>
    <w:p w14:paraId="05A7C8C8">
      <w:pPr>
        <w:pStyle w:val="3"/>
        <w:ind w:firstLine="562"/>
      </w:pPr>
      <w:bookmarkStart w:id="3" w:name="_Toc483477904"/>
      <w:r>
        <w:rPr>
          <w:rFonts w:hint="eastAsia"/>
        </w:rPr>
        <w:t>采购需求</w:t>
      </w:r>
      <w:bookmarkEnd w:id="3"/>
    </w:p>
    <w:p w14:paraId="10CE5FF9">
      <w:pPr>
        <w:pStyle w:val="4"/>
        <w:ind w:firstLine="562"/>
      </w:pPr>
      <w:bookmarkStart w:id="4" w:name="_Toc1053229049"/>
      <w:r>
        <w:t>停车位数量</w:t>
      </w:r>
      <w:bookmarkEnd w:id="4"/>
    </w:p>
    <w:p w14:paraId="58449997">
      <w:pPr>
        <w:ind w:firstLine="480"/>
      </w:pPr>
      <w:r>
        <w:rPr>
          <w:rFonts w:hint="eastAsia"/>
        </w:rPr>
        <w:t>校区内现有各类机动车停车位共计</w:t>
      </w:r>
      <w:r>
        <w:rPr>
          <w:rFonts w:hint="eastAsia"/>
          <w:u w:val="single"/>
        </w:rPr>
        <w:t xml:space="preserve"> 944 </w:t>
      </w:r>
      <w:r>
        <w:rPr>
          <w:rFonts w:hint="eastAsia"/>
        </w:rPr>
        <w:t>个，其中包括地面划线固定车位</w:t>
      </w:r>
      <w:r>
        <w:rPr>
          <w:rFonts w:hint="eastAsia"/>
          <w:u w:val="single"/>
        </w:rPr>
        <w:t xml:space="preserve"> 605 </w:t>
      </w:r>
      <w:r>
        <w:rPr>
          <w:rFonts w:hint="eastAsia"/>
        </w:rPr>
        <w:t>个，地下及半地下泊位</w:t>
      </w:r>
      <w:r>
        <w:rPr>
          <w:rFonts w:hint="eastAsia"/>
          <w:u w:val="single"/>
        </w:rPr>
        <w:t xml:space="preserve"> 339 </w:t>
      </w:r>
      <w:r>
        <w:rPr>
          <w:rFonts w:hint="eastAsia"/>
        </w:rPr>
        <w:t>个。这些车位主要分布在教学楼、实验楼、学生宿舍区、教职工生活区及校内主干道两侧，基本满足了当前师生员工的停车需求。本项目要求乙方提供的管理方案必须具备前瞻性，能够适应未来车流量的增长，并提出在现有条件下合理优化空间布局、提升车位周转效率的具体措施。</w:t>
      </w:r>
    </w:p>
    <w:p w14:paraId="5AC5104B">
      <w:pPr>
        <w:pStyle w:val="4"/>
        <w:ind w:firstLine="562"/>
      </w:pPr>
      <w:bookmarkStart w:id="5" w:name="_Toc1047590663"/>
      <w:r>
        <w:t>服务期</w:t>
      </w:r>
      <w:bookmarkEnd w:id="5"/>
    </w:p>
    <w:p w14:paraId="550EF04D">
      <w:pPr>
        <w:ind w:firstLine="480"/>
      </w:pPr>
      <w:r>
        <w:rPr>
          <w:rFonts w:hint="eastAsia"/>
        </w:rPr>
        <w:t>一年。</w:t>
      </w:r>
    </w:p>
    <w:p w14:paraId="392598C2">
      <w:pPr>
        <w:pStyle w:val="4"/>
        <w:ind w:firstLine="562"/>
      </w:pPr>
      <w:bookmarkStart w:id="6" w:name="_Toc131872295"/>
      <w:r>
        <w:t>收费标准</w:t>
      </w:r>
      <w:bookmarkEnd w:id="6"/>
    </w:p>
    <w:p w14:paraId="72621BB2">
      <w:pPr>
        <w:ind w:firstLine="480"/>
      </w:pPr>
      <w:r>
        <w:rPr>
          <w:rFonts w:hint="eastAsia"/>
        </w:rPr>
        <w:t>校园内车辆停放服务收费将遵循分类管理、动态调整的原则。参考周边同类高校及社会公共停车场的定价水平，具有市场竞争力。对于无证临时出入车辆，实行计时收费，具体标准由乙方根据市场价格调研后，向甲方及政府价格主管部门报备获得批准后执行，确保收费的合法合规。所有收费均需使用正规税务发票，并建立独立账目。</w:t>
      </w:r>
    </w:p>
    <w:p w14:paraId="38CD77F9">
      <w:pPr>
        <w:pStyle w:val="2"/>
        <w:ind w:firstLine="562"/>
      </w:pPr>
      <w:bookmarkStart w:id="7" w:name="_Toc692131930"/>
      <w:r>
        <w:t>比选供应商要求</w:t>
      </w:r>
      <w:bookmarkEnd w:id="7"/>
    </w:p>
    <w:p w14:paraId="3D804C1F">
      <w:pPr>
        <w:pStyle w:val="3"/>
        <w:ind w:firstLine="562"/>
      </w:pPr>
      <w:bookmarkStart w:id="8" w:name="_Toc1459509829"/>
      <w:r>
        <w:rPr>
          <w:rFonts w:hint="eastAsia"/>
        </w:rPr>
        <w:t>资质要求</w:t>
      </w:r>
      <w:bookmarkEnd w:id="8"/>
    </w:p>
    <w:p w14:paraId="7DF511BB">
      <w:pPr>
        <w:ind w:firstLine="480"/>
      </w:pPr>
      <w:r>
        <w:rPr>
          <w:rFonts w:hint="eastAsia"/>
        </w:rPr>
        <w:t>参与本次北京建筑大学大兴校区校园停车场外包服务比选的供应商，必须具备独立承担民事责任的能力，并持有有效的营业执照。供应商所持有的营业执照经营范围必须明确包含“物业管理”、“停车场管理”或“机动车停放服务”等相关内容，以确保其具备从事本项目所需的专业资质。为保障服务质量与风险承担能力，供应商需提供有效的质量管理体系认证证书（ISO 9001）、环境管理体系认证证书（ISO 14001）以及职业健康及安全管理体系认证证书（ISO 45001）。根据《政府采购促进中小企业发展管理办法》的相关规定，本项目专门面向小微企业采购，因此，投标供应商须在响应文件中出具符合要求的《中小企业声明函》，并对其真实性负责。若供应商为监狱企业或残疾人福利性单位，亦可享受同等政策待遇，但需提供由省级以上监狱管理局、戒毒管理局出具的属于监狱企业的证明文件，或提供符合规定的《残疾人福利性单位声明函》。所有提交的资质文件复印件均需加盖供应商公章，并作为响应文件的必要组成部分。</w:t>
      </w:r>
    </w:p>
    <w:p w14:paraId="3DB63649">
      <w:pPr>
        <w:pStyle w:val="3"/>
        <w:ind w:firstLine="562"/>
      </w:pPr>
      <w:bookmarkStart w:id="9" w:name="_Toc225717024"/>
      <w:r>
        <w:rPr>
          <w:rFonts w:hint="eastAsia"/>
        </w:rPr>
        <w:t>业绩要求</w:t>
      </w:r>
      <w:bookmarkEnd w:id="9"/>
    </w:p>
    <w:p w14:paraId="124D5208">
      <w:pPr>
        <w:ind w:firstLine="480"/>
      </w:pPr>
      <w:r>
        <w:rPr>
          <w:rFonts w:hint="eastAsia"/>
        </w:rPr>
        <w:t>为确保供应商具备丰富的校园或大型企事业单位停车管理经验，能够有效应对复杂多变的交通状况，比选文件对供应商的过往业绩提出了明确要求。供应商须提供自2022年9月至今的三年内，至少完成过两个与本项目类似的停车管理成功案例。每个业绩案例均需提供完整的合同复印件（包含项目名称、服务内容、双方签字盖章页及合同金额等关键信息）以及相应的《停车场经营备案证》复印件。合同和备案证复印件均需清晰完整，并加盖供应商公章。</w:t>
      </w:r>
    </w:p>
    <w:p w14:paraId="3B50C9A2">
      <w:pPr>
        <w:pStyle w:val="2"/>
        <w:ind w:firstLine="562"/>
      </w:pPr>
      <w:bookmarkStart w:id="10" w:name="_Toc176070285"/>
      <w:r>
        <w:t>服务内容与要求</w:t>
      </w:r>
      <w:bookmarkEnd w:id="10"/>
    </w:p>
    <w:p w14:paraId="255425B1">
      <w:pPr>
        <w:pStyle w:val="3"/>
        <w:ind w:firstLine="562"/>
      </w:pPr>
      <w:bookmarkStart w:id="11" w:name="_Toc1663253759"/>
      <w:r>
        <w:rPr>
          <w:rFonts w:hint="eastAsia"/>
        </w:rPr>
        <w:t>停车服务</w:t>
      </w:r>
      <w:bookmarkEnd w:id="11"/>
    </w:p>
    <w:p w14:paraId="2836C8F9">
      <w:pPr>
        <w:ind w:firstLine="480"/>
      </w:pPr>
      <w:r>
        <w:rPr>
          <w:rFonts w:hint="eastAsia"/>
        </w:rPr>
        <w:t>乙方需为北京建筑大学大兴校区提供全面、专业且高效的停车管理服务。服务范围涵盖校园内所有区域停车场，确保车辆停放有序、进出顺畅。随着校园建设的持续推进，包括学生宿舍11号楼等项目的新建，师生及访客的机动车数量持续增长，对停车资源的需求日益迫切。乙方必须制定科学优质合理的车辆出入、停放及收费管理机制、制度和设备设施良好运行，严格按照“先到先停”等原则进行管理。</w:t>
      </w:r>
    </w:p>
    <w:p w14:paraId="58C8D1D8">
      <w:pPr>
        <w:pStyle w:val="3"/>
        <w:ind w:firstLine="562"/>
      </w:pPr>
      <w:bookmarkStart w:id="12" w:name="_Toc1561313552"/>
      <w:r>
        <w:rPr>
          <w:rFonts w:hint="eastAsia"/>
        </w:rPr>
        <w:t>保险与理赔</w:t>
      </w:r>
      <w:bookmarkEnd w:id="12"/>
    </w:p>
    <w:p w14:paraId="2B27400F">
      <w:pPr>
        <w:pStyle w:val="4"/>
        <w:ind w:firstLine="562"/>
      </w:pPr>
      <w:bookmarkStart w:id="13" w:name="_Toc541607301"/>
      <w:r>
        <w:t>公众责任险投保</w:t>
      </w:r>
      <w:bookmarkEnd w:id="13"/>
    </w:p>
    <w:p w14:paraId="1BD14B34">
      <w:pPr>
        <w:ind w:firstLine="480"/>
      </w:pPr>
      <w:r>
        <w:rPr>
          <w:rFonts w:hint="eastAsia"/>
        </w:rPr>
        <w:t>乙方必须为本项目承包的整个停车场区域足额投保“停车场公众责任险”。该保险旨在覆盖因乙方管理不善或服务人员过失导致第三方人身伤亡或财产损失而产生的赔偿责任。乙方需确保保险的有效期覆盖整个服务期限，并在合同签订后立即办理完毕。中标后，乙方须向甲方提交保险单复印件作为备案。保险范围应尽可能广泛，乙方应通过增加保费等方式，争取将恶意划车等人为主观破坏行为纳入理赔范畴，以最大限度地降低甲方的潜在风险。</w:t>
      </w:r>
    </w:p>
    <w:p w14:paraId="473ED5DE">
      <w:pPr>
        <w:pStyle w:val="4"/>
        <w:ind w:firstLine="562"/>
      </w:pPr>
      <w:bookmarkStart w:id="14" w:name="_Toc1111248438"/>
      <w:r>
        <w:t>车辆损失理赔</w:t>
      </w:r>
      <w:bookmarkEnd w:id="14"/>
    </w:p>
    <w:p w14:paraId="509F8688">
      <w:pPr>
        <w:ind w:firstLine="480"/>
      </w:pPr>
      <w:r>
        <w:rPr>
          <w:rFonts w:hint="eastAsia"/>
        </w:rPr>
        <w:t>对于在校园停车场内停放的车辆（无论是固定车位还是临时车位），若因管理责任发生刮蹭、碰撞、丢失等事故，乙方应承担相应的赔偿责任。乙方应积极与保险公司协调，确保车主的合理损失得到及时、公正的赔付，切实维护车主利益和甲方的声誉。此承诺是投标文件的重要组成部分，也是甲方选择服务商的关键因素之一。</w:t>
      </w:r>
    </w:p>
    <w:p w14:paraId="12F8E3EE">
      <w:pPr>
        <w:pStyle w:val="3"/>
        <w:ind w:firstLine="562"/>
      </w:pPr>
      <w:bookmarkStart w:id="15" w:name="_Toc846386784"/>
      <w:r>
        <w:rPr>
          <w:rFonts w:hint="eastAsia"/>
        </w:rPr>
        <w:t>设施维护</w:t>
      </w:r>
      <w:bookmarkEnd w:id="15"/>
    </w:p>
    <w:p w14:paraId="714CD0BD">
      <w:pPr>
        <w:ind w:firstLine="480"/>
      </w:pPr>
      <w:r>
        <w:rPr>
          <w:rFonts w:hint="eastAsia"/>
        </w:rPr>
        <w:t>乙方负责本项目全部设施设备维护和更新。这包括但不限于智能停车管理系统（含道闸、车牌识别摄像头）、监控安防系统等。乙方需确保所有设施设备处于良好、安全的运行状态。乙方有义务定期巡检设备，预防故障发生，保障停车系统的稳定运行，为师生提供便捷、可靠的智能化停车体验。</w:t>
      </w:r>
    </w:p>
    <w:p w14:paraId="074B4D8E">
      <w:pPr>
        <w:pStyle w:val="2"/>
        <w:ind w:firstLine="562"/>
      </w:pPr>
      <w:bookmarkStart w:id="16" w:name="_Toc829155784"/>
      <w:r>
        <w:t>双方权利与义务</w:t>
      </w:r>
      <w:bookmarkEnd w:id="16"/>
    </w:p>
    <w:p w14:paraId="6EEB079E">
      <w:pPr>
        <w:pStyle w:val="3"/>
        <w:ind w:firstLine="562"/>
      </w:pPr>
      <w:bookmarkStart w:id="17" w:name="_Toc448597687"/>
      <w:r>
        <w:rPr>
          <w:rFonts w:hint="eastAsia"/>
        </w:rPr>
        <w:t>甲方权利与义务</w:t>
      </w:r>
      <w:bookmarkEnd w:id="17"/>
    </w:p>
    <w:p w14:paraId="499019BB">
      <w:pPr>
        <w:pStyle w:val="4"/>
        <w:ind w:firstLine="562"/>
      </w:pPr>
      <w:bookmarkStart w:id="18" w:name="_Toc1859650073"/>
      <w:r>
        <w:t>规划设计权</w:t>
      </w:r>
      <w:bookmarkEnd w:id="18"/>
    </w:p>
    <w:p w14:paraId="3837F2FA">
      <w:pPr>
        <w:ind w:firstLine="480"/>
      </w:pPr>
      <w:r>
        <w:rPr>
          <w:rFonts w:hint="eastAsia"/>
        </w:rPr>
        <w:t>甲方作为北京建筑大学大兴校区的管理主体，拥有对校园内所有资源的规划和调配权力。在停车场外包服务项目中，甲方保留对停车场整体规划设计的最终决定权。这包括但不限于停车位的具体布局、车辆进出通道的设计、交通标志与标线的设置以及出入口闸机的位置等关键要素。乙方需根据甲方提出的初步规划方案进行细化，并提交详细的执行计划供甲方审核。任何关于场地使用的重大变更都必须事先征得甲方书面同意后方可实施。此举旨在确保整个校园交通流线的安全性和合理性，同时保障师生员工日常出行的便利性。</w:t>
      </w:r>
    </w:p>
    <w:p w14:paraId="557124B4">
      <w:pPr>
        <w:pStyle w:val="4"/>
        <w:ind w:firstLine="562"/>
      </w:pPr>
      <w:bookmarkStart w:id="19" w:name="_Toc637189409"/>
      <w:r>
        <w:t>服务审核权</w:t>
      </w:r>
      <w:bookmarkEnd w:id="19"/>
    </w:p>
    <w:p w14:paraId="7099FCF5">
      <w:pPr>
        <w:ind w:firstLine="480"/>
      </w:pPr>
      <w:r>
        <w:rPr>
          <w:rFonts w:hint="eastAsia"/>
        </w:rPr>
        <w:t>为保证服务质量符合预期标准，甲方享有定期或不定期对乙方所提供服务进行全面检查的权利。审核内容涵盖收费流程规范性、突发事件应对能力等多个方面。</w:t>
      </w:r>
    </w:p>
    <w:p w14:paraId="5E8A2E99">
      <w:pPr>
        <w:pStyle w:val="3"/>
        <w:ind w:firstLine="562"/>
      </w:pPr>
      <w:bookmarkStart w:id="20" w:name="_Toc1229963717"/>
      <w:r>
        <w:rPr>
          <w:rFonts w:hint="eastAsia"/>
        </w:rPr>
        <w:t>乙方权利与义务</w:t>
      </w:r>
      <w:bookmarkEnd w:id="20"/>
    </w:p>
    <w:p w14:paraId="762A9D7D">
      <w:pPr>
        <w:pStyle w:val="4"/>
        <w:ind w:firstLine="562"/>
      </w:pPr>
      <w:bookmarkStart w:id="21" w:name="_Toc860182240"/>
      <w:r>
        <w:t>规划设计权</w:t>
      </w:r>
      <w:bookmarkEnd w:id="21"/>
    </w:p>
    <w:p w14:paraId="5BE8B28E">
      <w:pPr>
        <w:ind w:firstLine="480"/>
      </w:pPr>
      <w:r>
        <w:rPr>
          <w:rFonts w:hint="eastAsia"/>
        </w:rPr>
        <w:t>尽管整体规划由甲方主导，但在具体实施方案层面，乙方作为专业化的物业管理公司被赋予了一定程度上的自主决策空间。在不影响主干道通行的前提下，可根据实际需求调整部分非主要区域内的停车位划分方式；或者引入智能化管理系统优化现有资源配置效率。所有此类变动均需提前向甲方报备并获得正式批准后方能施行。通过这种方式既能发挥乙方的专业优势，又维护了校园整体环境的协调统一。</w:t>
      </w:r>
    </w:p>
    <w:p w14:paraId="0916CC07">
      <w:pPr>
        <w:pStyle w:val="4"/>
        <w:ind w:firstLine="562"/>
      </w:pPr>
      <w:bookmarkStart w:id="22" w:name="_Toc144017628"/>
      <w:r>
        <w:t>收费权</w:t>
      </w:r>
      <w:bookmarkEnd w:id="22"/>
    </w:p>
    <w:p w14:paraId="4A9DE53C">
      <w:pPr>
        <w:ind w:firstLine="480"/>
      </w:pPr>
      <w:r>
        <w:rPr>
          <w:rFonts w:hint="eastAsia"/>
        </w:rPr>
        <w:t>乙方依法享有对进入校园停放的机动车辆收取相应费用的权利。收费标准遵循周边同类场所现行价格水平制定合理价位，报甲方及相关政府部门批准备案。所获收入将用于覆盖人工成本、设备折旧及其他相关开支，在此基础上实现盈利目标。</w:t>
      </w:r>
    </w:p>
    <w:p w14:paraId="26700D95">
      <w:pPr>
        <w:pStyle w:val="4"/>
        <w:ind w:firstLine="562"/>
      </w:pPr>
      <w:bookmarkStart w:id="23" w:name="_Toc1907772903"/>
      <w:r>
        <w:t>保险理赔责任</w:t>
      </w:r>
      <w:bookmarkEnd w:id="23"/>
    </w:p>
    <w:p w14:paraId="33C5DE5A">
      <w:pPr>
        <w:ind w:firstLine="480"/>
      </w:pPr>
      <w:r>
        <w:rPr>
          <w:rFonts w:hint="eastAsia"/>
        </w:rPr>
        <w:t>为最大限度地保护车主权益免受意外损失影响，乙方有义务为整个停车场投保足额的公众责任险。一旦发生由于管理疏忽造成的车辆刮擦、碰撞甚至被盗等情况，均由保险公司依据保单条款先行赔付给受损方。在此过程中，乙方还需指派专人全程跟踪处理理赔事宜，确保流程顺畅高效。即便事故责任归属尚不清晰，也应当先积极协助当事人报警取证，并启动预赔机制缓解矛盾激化态势，展现负责任的企业形象。</w:t>
      </w:r>
    </w:p>
    <w:p w14:paraId="48EFF8A3">
      <w:pPr>
        <w:pStyle w:val="4"/>
        <w:ind w:firstLine="562"/>
      </w:pPr>
      <w:bookmarkStart w:id="24" w:name="_Toc275889924"/>
      <w:r>
        <w:t>费用承担责任</w:t>
      </w:r>
      <w:bookmarkEnd w:id="24"/>
    </w:p>
    <w:p w14:paraId="39226C2B">
      <w:pPr>
        <w:ind w:firstLine="480"/>
      </w:pPr>
      <w:r>
        <w:rPr>
          <w:rFonts w:hint="eastAsia"/>
        </w:rPr>
        <w:t>在整个合作期间内，所有运营支出均由乙方独立承担。这主要包括但不限于以下几项：首先是日常运维开销，像水电消耗、清洁保洁以及小型维修保养等常规性支出；包括不可预见的风险准备金，用以应对自然灾害或其他突发事件带来的额外负担。通过全面包干模式，促使乙方更加注重精细化管理，努力提升自身盈利能力。</w:t>
      </w:r>
    </w:p>
    <w:p w14:paraId="789C771F">
      <w:pPr>
        <w:pStyle w:val="2"/>
        <w:ind w:firstLine="562"/>
      </w:pPr>
      <w:bookmarkStart w:id="25" w:name="_Toc827841049"/>
      <w:r>
        <w:t>合同相关条款</w:t>
      </w:r>
      <w:bookmarkEnd w:id="25"/>
    </w:p>
    <w:p w14:paraId="2592E7BC">
      <w:pPr>
        <w:pStyle w:val="3"/>
        <w:ind w:firstLine="562"/>
      </w:pPr>
      <w:bookmarkStart w:id="26" w:name="_Toc1219799084"/>
      <w:r>
        <w:rPr>
          <w:rFonts w:hint="eastAsia"/>
        </w:rPr>
        <w:t>服务期限</w:t>
      </w:r>
      <w:bookmarkEnd w:id="26"/>
    </w:p>
    <w:p w14:paraId="0FD0DA5C">
      <w:pPr>
        <w:ind w:firstLine="480"/>
      </w:pPr>
      <w:r>
        <w:rPr>
          <w:rFonts w:hint="eastAsia"/>
        </w:rPr>
        <w:t>本项目的合同服务期为</w:t>
      </w:r>
      <w:r>
        <w:rPr>
          <w:rFonts w:hint="eastAsia"/>
          <w:u w:val="single"/>
        </w:rPr>
        <w:t xml:space="preserve"> 一</w:t>
      </w:r>
      <w:r>
        <w:rPr>
          <w:rFonts w:hint="eastAsia"/>
        </w:rPr>
        <w:t>年，自</w:t>
      </w:r>
      <w:r>
        <w:rPr>
          <w:u w:val="single"/>
        </w:rPr>
        <w:t>2025</w:t>
      </w:r>
      <w:r>
        <w:rPr>
          <w:rFonts w:hint="eastAsia"/>
        </w:rPr>
        <w:t>年</w:t>
      </w:r>
      <w:r>
        <w:rPr>
          <w:rFonts w:hint="eastAsia"/>
          <w:u w:val="single"/>
        </w:rPr>
        <w:t xml:space="preserve"> </w:t>
      </w:r>
      <w:r>
        <w:rPr>
          <w:u w:val="single"/>
        </w:rPr>
        <w:t>12</w:t>
      </w:r>
      <w:r>
        <w:rPr>
          <w:rFonts w:hint="eastAsia"/>
        </w:rPr>
        <w:t>月</w:t>
      </w:r>
      <w:r>
        <w:rPr>
          <w:u w:val="single"/>
        </w:rPr>
        <w:t>15</w:t>
      </w:r>
      <w:r>
        <w:rPr>
          <w:rFonts w:hint="eastAsia"/>
        </w:rPr>
        <w:t>日起至</w:t>
      </w:r>
      <w:r>
        <w:rPr>
          <w:u w:val="single"/>
        </w:rPr>
        <w:t>2026</w:t>
      </w:r>
      <w:r>
        <w:rPr>
          <w:rFonts w:hint="eastAsia"/>
          <w:u w:val="single"/>
        </w:rPr>
        <w:t xml:space="preserve"> </w:t>
      </w:r>
      <w:r>
        <w:rPr>
          <w:rFonts w:hint="eastAsia"/>
        </w:rPr>
        <w:t>年</w:t>
      </w:r>
      <w:r>
        <w:rPr>
          <w:u w:val="single"/>
        </w:rPr>
        <w:t>12</w:t>
      </w:r>
      <w:r>
        <w:rPr>
          <w:rFonts w:hint="eastAsia"/>
        </w:rPr>
        <w:t>月</w:t>
      </w:r>
      <w:r>
        <w:rPr>
          <w:u w:val="single"/>
        </w:rPr>
        <w:t>14</w:t>
      </w:r>
      <w:r>
        <w:rPr>
          <w:rFonts w:hint="eastAsia"/>
        </w:rPr>
        <w:t>日止。该长期服务期限的设定旨在保障校园停车管理服务的连续性与稳定性，便于乙方进行长期规划和投资。在合同期内，乙方需严格按照本比选文件及最终签订合同的各项规定，全面履行其对北京建筑大学大兴校区近1000个停车位的运营管理职责。服务期内，若遇国家法律法规或北京市地方政策发生重大调整，直接影响本合同的执行，双方应本着诚实信用和公平合理的原则，就合同内容进行协商变更，以确保服务的合法合规与持续稳定。</w:t>
      </w:r>
    </w:p>
    <w:p w14:paraId="5A55C4B3">
      <w:pPr>
        <w:pStyle w:val="3"/>
        <w:ind w:firstLine="562"/>
      </w:pPr>
      <w:bookmarkStart w:id="27" w:name="_Toc501606948"/>
      <w:r>
        <w:rPr>
          <w:rFonts w:hint="eastAsia"/>
        </w:rPr>
        <w:t>合同金额及支付方式</w:t>
      </w:r>
      <w:bookmarkEnd w:id="27"/>
    </w:p>
    <w:p w14:paraId="2767F998">
      <w:pPr>
        <w:ind w:firstLine="480"/>
      </w:pPr>
      <w:r>
        <w:rPr>
          <w:rFonts w:hint="eastAsia"/>
        </w:rPr>
        <w:t>所产生的收入部分，甲乙双方将按照固定比例进行分配。其中，甲方（北京建筑大学）享有收入的不低于</w:t>
      </w:r>
      <w:r>
        <w:rPr>
          <w:u w:val="single"/>
        </w:rPr>
        <w:t>75</w:t>
      </w:r>
      <w:r>
        <w:rPr>
          <w:rFonts w:hint="eastAsia"/>
          <w:u w:val="single"/>
        </w:rPr>
        <w:t xml:space="preserve"> </w:t>
      </w:r>
      <w:r>
        <w:rPr>
          <w:rFonts w:hint="eastAsia"/>
        </w:rPr>
        <w:t>%，乙方须于每季度结束后的十个工作日内，向甲方提交经审计的财务报表，并据此结算上一季度应分配给甲方的份额。此分配机制旨在激励乙方提升管理水平和创收能力，同时保障学校作为场地提供方能够分享到合理的经营成果。</w:t>
      </w:r>
    </w:p>
    <w:p w14:paraId="5ADF0BA4">
      <w:pPr>
        <w:pStyle w:val="2"/>
        <w:ind w:firstLine="562"/>
      </w:pPr>
      <w:bookmarkStart w:id="28" w:name="_Toc93217360"/>
      <w:r>
        <w:t>比选评审标准</w:t>
      </w:r>
      <w:bookmarkEnd w:id="28"/>
    </w:p>
    <w:p w14:paraId="39CE8119">
      <w:pPr>
        <w:pStyle w:val="4"/>
        <w:ind w:firstLine="562"/>
      </w:pPr>
      <w:bookmarkStart w:id="29" w:name="_Toc2115136806"/>
      <w:r>
        <w:rPr>
          <w:rFonts w:hint="eastAsia"/>
        </w:rPr>
        <w:t>甲方享有收入不低于</w:t>
      </w:r>
      <w:r>
        <w:rPr>
          <w:u w:val="single"/>
        </w:rPr>
        <w:t>75</w:t>
      </w:r>
      <w:r>
        <w:rPr>
          <w:rFonts w:hint="eastAsia"/>
          <w:u w:val="single"/>
        </w:rPr>
        <w:t xml:space="preserve"> </w:t>
      </w:r>
      <w:r>
        <w:rPr>
          <w:rFonts w:hint="eastAsia"/>
        </w:rPr>
        <w:t>%，每增加1%，得0.5分，最高不超</w:t>
      </w:r>
      <w:r>
        <w:t>10</w:t>
      </w:r>
      <w:r>
        <w:rPr>
          <w:rFonts w:hint="eastAsia"/>
        </w:rPr>
        <w:t>分</w:t>
      </w:r>
    </w:p>
    <w:p w14:paraId="423B72D9">
      <w:pPr>
        <w:pStyle w:val="4"/>
        <w:ind w:firstLine="562"/>
      </w:pPr>
      <w:r>
        <w:t>企业认证体系</w:t>
      </w:r>
      <w:bookmarkEnd w:id="29"/>
    </w:p>
    <w:p w14:paraId="7DB1D5B5">
      <w:pPr>
        <w:ind w:firstLine="480"/>
      </w:pPr>
      <w:r>
        <w:rPr>
          <w:rFonts w:hint="eastAsia"/>
        </w:rPr>
        <w:t>企业认证体系</w:t>
      </w:r>
      <w:r>
        <w:t>5</w:t>
      </w:r>
      <w:r>
        <w:rPr>
          <w:rFonts w:hint="eastAsia"/>
        </w:rPr>
        <w:t>分。供应商需证明其具备完善的管理体系，以支撑校园停车管理这一长期、稳定且要求规范的服务。具体评分标准为：</w:t>
      </w:r>
    </w:p>
    <w:p w14:paraId="2A6069A8">
      <w:pPr>
        <w:ind w:firstLine="480"/>
      </w:pPr>
      <w:r>
        <w:rPr>
          <w:rFonts w:hint="eastAsia"/>
        </w:rPr>
        <w:t>提供有效的ISO 9001质量管理体系认证证书，得1分。</w:t>
      </w:r>
    </w:p>
    <w:p w14:paraId="4FC210E5">
      <w:pPr>
        <w:ind w:firstLine="480"/>
      </w:pPr>
      <w:r>
        <w:rPr>
          <w:rFonts w:hint="eastAsia"/>
        </w:rPr>
        <w:t>提供有效的ISO 14001环境管理体系认证证书，得1分。</w:t>
      </w:r>
    </w:p>
    <w:p w14:paraId="630F0A3D">
      <w:pPr>
        <w:ind w:firstLine="480"/>
      </w:pPr>
      <w:r>
        <w:rPr>
          <w:rFonts w:hint="eastAsia"/>
        </w:rPr>
        <w:t>提供有效的ISO 45001职业健康及安全管理体系认证证书，得1分。</w:t>
      </w:r>
    </w:p>
    <w:p w14:paraId="5308B953">
      <w:pPr>
        <w:ind w:firstLine="480"/>
      </w:pPr>
      <w:r>
        <w:rPr>
          <w:rFonts w:hint="eastAsia"/>
        </w:rPr>
        <w:t>以上都可提供，得5分。供应商须在响应文件中提供上述证书的清晰复印件或扫描件，并加盖单位公章。</w:t>
      </w:r>
    </w:p>
    <w:p w14:paraId="10BA85F7">
      <w:pPr>
        <w:pStyle w:val="4"/>
        <w:ind w:firstLine="562"/>
      </w:pPr>
      <w:bookmarkStart w:id="30" w:name="_Toc1852293468"/>
      <w:r>
        <w:t>相关业绩</w:t>
      </w:r>
      <w:bookmarkEnd w:id="30"/>
    </w:p>
    <w:p w14:paraId="5EB1FBEB">
      <w:pPr>
        <w:ind w:firstLine="480"/>
      </w:pPr>
      <w:r>
        <w:rPr>
          <w:rFonts w:hint="eastAsia"/>
        </w:rPr>
        <w:t>满分为25分，旨在考察供应商在同类项目上的实际经验与成功案例。评分标准如下：供应商需提供自2022年9月至今（以合同签订时间为准）所承接的类似成功案例。每提供一个完整的成功案例得5分，最高可得25分。每个案例须附上经双方签署盖章的合同关键页（包括项目内容、金额、签字盖章页）以及对应的停车场经营备案证复印件，并均加盖供应商公章。丰富的类似项目经验表明供应商已建立成熟的管理模式和应急处理机制，能够快速适应北京建筑大学大兴校区近1000个车位的运营管理需求，有效降低项目启动和磨合阶段的风险。</w:t>
      </w:r>
      <w:bookmarkStart w:id="31" w:name="_Toc1083855977"/>
    </w:p>
    <w:bookmarkEnd w:id="31"/>
    <w:p w14:paraId="6D1A4022">
      <w:pPr>
        <w:pStyle w:val="4"/>
        <w:ind w:firstLine="562"/>
      </w:pPr>
      <w:r>
        <w:rPr>
          <w:rFonts w:hint="eastAsia"/>
        </w:rPr>
        <w:t>服务方案</w:t>
      </w:r>
    </w:p>
    <w:p w14:paraId="231B496C">
      <w:pPr>
        <w:ind w:firstLine="480"/>
      </w:pPr>
      <w:r>
        <w:rPr>
          <w:rFonts w:hint="eastAsia"/>
        </w:rPr>
        <w:t xml:space="preserve">  满分</w:t>
      </w:r>
      <w:r>
        <w:t>60</w:t>
      </w:r>
      <w:r>
        <w:rPr>
          <w:rFonts w:hint="eastAsia"/>
        </w:rPr>
        <w:t>分，每个模块</w:t>
      </w:r>
      <w:r>
        <w:t>10</w:t>
      </w:r>
      <w:r>
        <w:rPr>
          <w:rFonts w:hint="eastAsia"/>
        </w:rPr>
        <w:t>分。包括车位规划、收费管理、停车系统、设备维护、停车保险、人员培训。</w:t>
      </w:r>
    </w:p>
    <w:p w14:paraId="68DC6B74">
      <w:pPr>
        <w:pStyle w:val="2"/>
        <w:ind w:firstLine="562"/>
      </w:pPr>
      <w:bookmarkStart w:id="32" w:name="_Toc1532453664"/>
      <w:r>
        <w:t>投标承诺</w:t>
      </w:r>
      <w:bookmarkEnd w:id="32"/>
    </w:p>
    <w:p w14:paraId="6B133C52">
      <w:pPr>
        <w:pStyle w:val="3"/>
        <w:ind w:firstLine="562"/>
      </w:pPr>
      <w:bookmarkStart w:id="33" w:name="_Toc732767134"/>
      <w:r>
        <w:rPr>
          <w:rFonts w:hint="eastAsia"/>
        </w:rPr>
        <w:t>通知与通讯</w:t>
      </w:r>
      <w:bookmarkEnd w:id="33"/>
    </w:p>
    <w:p w14:paraId="5BFE074E">
      <w:pPr>
        <w:ind w:firstLine="480"/>
      </w:pPr>
      <w:r>
        <w:rPr>
          <w:rFonts w:hint="eastAsia"/>
        </w:rPr>
        <w:t>为确保北京建筑大学大兴校区校园停车场外包服务项目的顺利实施，保障甲乙双方信息传递的及时性、准确性和有效性，本项目所有与合同履行相关的正式通知、回复、文件及函件，均须采用书面形式进行。所有往来通讯应以邮寄（邮政特快专递）、专人送达或经确认接收的电子邮件方式发送至本条款指定的联系地址和联系方式。</w:t>
      </w:r>
    </w:p>
    <w:p w14:paraId="3B6B1C5E">
      <w:pPr>
        <w:ind w:firstLine="480"/>
      </w:pPr>
      <w:r>
        <w:rPr>
          <w:rFonts w:hint="eastAsia"/>
        </w:rPr>
        <w:t>甲方指定的联系人、电话号码、通讯地址及电子邮箱如下：</w:t>
      </w:r>
    </w:p>
    <w:p w14:paraId="172C249B">
      <w:pPr>
        <w:ind w:firstLine="480"/>
      </w:pPr>
      <w:r>
        <w:rPr>
          <w:rFonts w:hint="eastAsia"/>
        </w:rPr>
        <w:t>王老师 010-68351470 北京市西城区展览馆路1号 bwc@bucea.edu.cn</w:t>
      </w:r>
    </w:p>
    <w:p w14:paraId="13851BB6">
      <w:pPr>
        <w:pStyle w:val="3"/>
        <w:ind w:firstLine="562"/>
      </w:pPr>
      <w:bookmarkStart w:id="34" w:name="_Toc1024522388"/>
      <w:r>
        <w:rPr>
          <w:rFonts w:hint="eastAsia"/>
        </w:rPr>
        <w:t>费用承担</w:t>
      </w:r>
      <w:bookmarkEnd w:id="34"/>
    </w:p>
    <w:p w14:paraId="7484E0F1">
      <w:pPr>
        <w:ind w:firstLine="480"/>
      </w:pPr>
      <w:r>
        <w:rPr>
          <w:rFonts w:hint="eastAsia"/>
        </w:rPr>
        <w:t>所有与停车场日常运营管理相关的费用均由乙方承担。具体费用承担范围包括但不限于以下几个方面：</w:t>
      </w:r>
    </w:p>
    <w:p w14:paraId="28B676DD">
      <w:pPr>
        <w:ind w:firstLine="480"/>
      </w:pPr>
      <w:r>
        <w:rPr>
          <w:rFonts w:hint="eastAsia"/>
        </w:rPr>
        <w:t>在运营及设施维护成本方面，乙方需承担项目运行期间产生的所有水电费、供暖费、网络通信费、办公耗材费等日常开支。</w:t>
      </w:r>
    </w:p>
    <w:p w14:paraId="7AFAB2C1">
      <w:pPr>
        <w:ind w:firstLine="480"/>
      </w:pPr>
      <w:r>
        <w:rPr>
          <w:rFonts w:hint="eastAsia"/>
        </w:rPr>
        <w:t>在保险及法律合规成本方面，乙方负有强制性的投保义务。乙方必须以甲方为共同被保险人，为停车场购买足额的“公众责任险”和“车场财产综合险”，以覆盖车辆在停放期间因管理责任造成的刮蹭、碰撞、丢失、火灾等事故风险。保险费用是乙方运营成本的重要组成部分。乙方还需承担与本项目相关的所有税费，包括但不限于停车服务收入应缴纳的增值税、城市维护建设税、教育费附加等，以及可能产生的印花税等。所有这些费用，均从乙方收取的停车费收入中列支，甲方不承担任何费用。</w:t>
      </w:r>
    </w:p>
    <w:p w14:paraId="7EA89856">
      <w:pPr>
        <w:pStyle w:val="3"/>
        <w:ind w:firstLine="562"/>
      </w:pPr>
      <w:bookmarkStart w:id="35" w:name="_Toc1217185252"/>
      <w:r>
        <w:rPr>
          <w:rFonts w:hint="eastAsia"/>
        </w:rPr>
        <w:t>合同解释与法律适用</w:t>
      </w:r>
      <w:bookmarkEnd w:id="35"/>
    </w:p>
    <w:p w14:paraId="24E90FC2">
      <w:pPr>
        <w:ind w:firstLine="480"/>
      </w:pPr>
      <w:r>
        <w:rPr>
          <w:rFonts w:hint="eastAsia"/>
        </w:rPr>
        <w:t>本《北京建筑大学大兴校区校园停车场外包服务比选邀请文件》及其最终形成的合同文本，构成甲乙双方权利义务的完整协议。对于本合同及其附件中的任何条款、表述或内容的解释，各方均应遵循诚实信用原则，并依据本合同签订时有效的中华人民共和国法律、行政法规、部门规章及地方性规定进行。</w:t>
      </w:r>
    </w:p>
    <w:p w14:paraId="1C0E4A57">
      <w:pPr>
        <w:ind w:firstLine="48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0" w:num="1"/>
      <w:docGrid w:type="lines" w:linePitch="38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62097">
    <w:pPr>
      <w:pStyle w:val="14"/>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247141">
                          <w:pPr>
                            <w:pStyle w:val="14"/>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E247141">
                    <w:pPr>
                      <w:pStyle w:val="14"/>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1D745">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F7F19">
    <w:pPr>
      <w:pStyle w:val="1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630C2">
    <w:pPr>
      <w:pStyle w:val="1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FE60D">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BC4F6">
    <w:pPr>
      <w:pStyle w:val="1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D38E47"/>
    <w:multiLevelType w:val="multilevel"/>
    <w:tmpl w:val="D9D38E47"/>
    <w:lvl w:ilvl="0" w:tentative="0">
      <w:start w:val="1"/>
      <w:numFmt w:val="chineseCounting"/>
      <w:pStyle w:val="2"/>
      <w:suff w:val="nothing"/>
      <w:lvlText w:val="%1、"/>
      <w:lvlJc w:val="left"/>
      <w:pPr>
        <w:tabs>
          <w:tab w:val="left" w:pos="850"/>
        </w:tabs>
        <w:ind w:left="850" w:firstLine="0"/>
      </w:pPr>
      <w:rPr>
        <w:rFonts w:hint="eastAsia" w:ascii="宋体" w:hAnsi="宋体" w:cs="宋体"/>
        <w:color w:val="000000" w:themeColor="text1"/>
        <w:sz w:val="28"/>
        <w:szCs w:val="28"/>
        <w:lang w:val="en-US"/>
        <w14:textFill>
          <w14:solidFill>
            <w14:schemeClr w14:val="tx1"/>
          </w14:solidFill>
        </w14:textFill>
      </w:rPr>
    </w:lvl>
    <w:lvl w:ilvl="1" w:tentative="0">
      <w:start w:val="1"/>
      <w:numFmt w:val="chineseCounting"/>
      <w:pStyle w:val="3"/>
      <w:suff w:val="nothing"/>
      <w:lvlText w:val="（%2）"/>
      <w:lvlJc w:val="left"/>
      <w:pPr>
        <w:tabs>
          <w:tab w:val="left" w:pos="426"/>
        </w:tabs>
        <w:ind w:left="426" w:firstLine="0"/>
      </w:pPr>
      <w:rPr>
        <w:rFonts w:hint="eastAsia"/>
      </w:rPr>
    </w:lvl>
    <w:lvl w:ilvl="2" w:tentative="0">
      <w:start w:val="1"/>
      <w:numFmt w:val="decimal"/>
      <w:pStyle w:val="4"/>
      <w:isLgl/>
      <w:suff w:val="nothing"/>
      <w:lvlText w:val="%3．"/>
      <w:lvlJc w:val="left"/>
      <w:pPr>
        <w:tabs>
          <w:tab w:val="left" w:pos="710"/>
        </w:tabs>
        <w:ind w:left="710" w:firstLine="0"/>
      </w:pPr>
      <w:rPr>
        <w:rFonts w:hint="eastAsia" w:ascii="宋体" w:hAnsi="宋体" w:cs="宋体"/>
        <w:b/>
        <w:bCs/>
        <w:sz w:val="28"/>
        <w:szCs w:val="28"/>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0"/>
  <w:drawingGridHorizontalSpacing w:val="210"/>
  <w:drawingGridVerticalSpacing w:val="194"/>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A24D9F"/>
    <w:rsid w:val="000E2090"/>
    <w:rsid w:val="000F77B7"/>
    <w:rsid w:val="00132E21"/>
    <w:rsid w:val="00135719"/>
    <w:rsid w:val="00172868"/>
    <w:rsid w:val="00197E8E"/>
    <w:rsid w:val="001C6AAD"/>
    <w:rsid w:val="002140D4"/>
    <w:rsid w:val="002258E1"/>
    <w:rsid w:val="00272B62"/>
    <w:rsid w:val="002B516E"/>
    <w:rsid w:val="002E67EF"/>
    <w:rsid w:val="00342753"/>
    <w:rsid w:val="003D3F8F"/>
    <w:rsid w:val="00420D71"/>
    <w:rsid w:val="004767CA"/>
    <w:rsid w:val="004A4A2E"/>
    <w:rsid w:val="00517AF3"/>
    <w:rsid w:val="00581DE4"/>
    <w:rsid w:val="005868E5"/>
    <w:rsid w:val="005B64AA"/>
    <w:rsid w:val="005F69CD"/>
    <w:rsid w:val="00655948"/>
    <w:rsid w:val="00671ECD"/>
    <w:rsid w:val="006854E9"/>
    <w:rsid w:val="00757014"/>
    <w:rsid w:val="00774705"/>
    <w:rsid w:val="007C2A3E"/>
    <w:rsid w:val="007F7153"/>
    <w:rsid w:val="0080648E"/>
    <w:rsid w:val="00870ED6"/>
    <w:rsid w:val="008D734A"/>
    <w:rsid w:val="009811D0"/>
    <w:rsid w:val="00A270D4"/>
    <w:rsid w:val="00A44C1F"/>
    <w:rsid w:val="00A62400"/>
    <w:rsid w:val="00B935BA"/>
    <w:rsid w:val="00BE6D4C"/>
    <w:rsid w:val="00C62215"/>
    <w:rsid w:val="00D374FF"/>
    <w:rsid w:val="00D60C69"/>
    <w:rsid w:val="00DC5CEF"/>
    <w:rsid w:val="00DD0B01"/>
    <w:rsid w:val="00DF1CA2"/>
    <w:rsid w:val="00DF6EE0"/>
    <w:rsid w:val="00E1417E"/>
    <w:rsid w:val="00E56230"/>
    <w:rsid w:val="00E6033B"/>
    <w:rsid w:val="00F1778D"/>
    <w:rsid w:val="00F929ED"/>
    <w:rsid w:val="06116FB5"/>
    <w:rsid w:val="07011CC2"/>
    <w:rsid w:val="07644792"/>
    <w:rsid w:val="09284798"/>
    <w:rsid w:val="0F2B6FD9"/>
    <w:rsid w:val="0FCD239F"/>
    <w:rsid w:val="183C240D"/>
    <w:rsid w:val="1AA24D9F"/>
    <w:rsid w:val="28DA2E89"/>
    <w:rsid w:val="2A4254F9"/>
    <w:rsid w:val="2D1F32F4"/>
    <w:rsid w:val="2D3B4CC7"/>
    <w:rsid w:val="323B4D81"/>
    <w:rsid w:val="34B70380"/>
    <w:rsid w:val="35F943D3"/>
    <w:rsid w:val="3AE174A3"/>
    <w:rsid w:val="43446334"/>
    <w:rsid w:val="44A84E71"/>
    <w:rsid w:val="477DCE1E"/>
    <w:rsid w:val="573E1E21"/>
    <w:rsid w:val="5B487E91"/>
    <w:rsid w:val="5CF9550F"/>
    <w:rsid w:val="5EFEBDE8"/>
    <w:rsid w:val="68CA2609"/>
    <w:rsid w:val="68CC1AED"/>
    <w:rsid w:val="69BB0F42"/>
    <w:rsid w:val="6A637494"/>
    <w:rsid w:val="6BCF62E6"/>
    <w:rsid w:val="6CD3A16D"/>
    <w:rsid w:val="6D535020"/>
    <w:rsid w:val="6E5F49A6"/>
    <w:rsid w:val="6FFF37D2"/>
    <w:rsid w:val="70431AE9"/>
    <w:rsid w:val="70DE2EF1"/>
    <w:rsid w:val="748108E0"/>
    <w:rsid w:val="7C5F4108"/>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2F3A9A"/>
    <w:rsid w:val="FDDC5620"/>
    <w:rsid w:val="FDEA700A"/>
    <w:rsid w:val="FFBFCE4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firstLineChars="200"/>
    </w:pPr>
    <w:rPr>
      <w:rFonts w:ascii="Arial" w:hAnsi="Arial" w:eastAsia="宋体" w:cs="Times New Roman"/>
      <w:kern w:val="2"/>
      <w:sz w:val="24"/>
      <w:szCs w:val="24"/>
      <w:lang w:val="en-US" w:eastAsia="zh-CN" w:bidi="ar-SA"/>
    </w:rPr>
  </w:style>
  <w:style w:type="paragraph" w:styleId="2">
    <w:name w:val="heading 1"/>
    <w:basedOn w:val="1"/>
    <w:next w:val="1"/>
    <w:qFormat/>
    <w:uiPriority w:val="0"/>
    <w:pPr>
      <w:keepNext/>
      <w:keepLines/>
      <w:numPr>
        <w:ilvl w:val="0"/>
        <w:numId w:val="1"/>
      </w:numPr>
      <w:tabs>
        <w:tab w:val="left" w:pos="0"/>
        <w:tab w:val="clear" w:pos="850"/>
      </w:tabs>
      <w:ind w:left="0" w:firstLine="480"/>
      <w:outlineLvl w:val="0"/>
    </w:pPr>
    <w:rPr>
      <w:rFonts w:cs="宋体"/>
      <w:b/>
      <w:bCs/>
      <w:kern w:val="44"/>
      <w:sz w:val="28"/>
      <w:szCs w:val="28"/>
    </w:rPr>
  </w:style>
  <w:style w:type="paragraph" w:styleId="3">
    <w:name w:val="heading 2"/>
    <w:basedOn w:val="1"/>
    <w:next w:val="1"/>
    <w:unhideWhenUsed/>
    <w:qFormat/>
    <w:uiPriority w:val="0"/>
    <w:pPr>
      <w:keepNext/>
      <w:keepLines/>
      <w:numPr>
        <w:ilvl w:val="1"/>
        <w:numId w:val="1"/>
      </w:numPr>
      <w:tabs>
        <w:tab w:val="left" w:pos="0"/>
        <w:tab w:val="clear" w:pos="426"/>
      </w:tabs>
      <w:ind w:left="0" w:firstLine="480"/>
      <w:outlineLvl w:val="1"/>
    </w:pPr>
    <w:rPr>
      <w:rFonts w:cs="宋体"/>
      <w:b/>
      <w:sz w:val="28"/>
      <w:szCs w:val="28"/>
    </w:rPr>
  </w:style>
  <w:style w:type="paragraph" w:styleId="4">
    <w:name w:val="heading 3"/>
    <w:basedOn w:val="1"/>
    <w:next w:val="1"/>
    <w:unhideWhenUsed/>
    <w:qFormat/>
    <w:uiPriority w:val="0"/>
    <w:pPr>
      <w:keepNext/>
      <w:keepLines/>
      <w:numPr>
        <w:ilvl w:val="2"/>
        <w:numId w:val="1"/>
      </w:numPr>
      <w:tabs>
        <w:tab w:val="left" w:pos="425"/>
        <w:tab w:val="clear" w:pos="710"/>
      </w:tabs>
      <w:ind w:left="425" w:firstLine="480"/>
      <w:outlineLvl w:val="2"/>
    </w:pPr>
    <w:rPr>
      <w:rFonts w:ascii="宋体" w:hAnsi="宋体" w:cs="宋体"/>
      <w:b/>
      <w:bCs/>
      <w:color w:val="000000" w:themeColor="text1"/>
      <w:sz w:val="28"/>
      <w:szCs w:val="28"/>
      <w14:textFill>
        <w14:solidFill>
          <w14:schemeClr w14:val="tx1"/>
        </w14:solidFill>
      </w14:textFill>
    </w:rPr>
  </w:style>
  <w:style w:type="paragraph" w:styleId="5">
    <w:name w:val="heading 4"/>
    <w:basedOn w:val="1"/>
    <w:next w:val="1"/>
    <w:unhideWhenUsed/>
    <w:qFormat/>
    <w:uiPriority w:val="0"/>
    <w:pPr>
      <w:keepNext/>
      <w:keepLines/>
      <w:numPr>
        <w:ilvl w:val="3"/>
        <w:numId w:val="1"/>
      </w:numPr>
      <w:spacing w:before="240" w:after="160" w:line="240" w:lineRule="auto"/>
      <w:ind w:firstLine="0" w:firstLineChars="0"/>
      <w:outlineLvl w:val="3"/>
    </w:pPr>
    <w:rPr>
      <w:b/>
      <w:sz w:val="28"/>
    </w:rPr>
  </w:style>
  <w:style w:type="paragraph" w:styleId="6">
    <w:name w:val="heading 5"/>
    <w:basedOn w:val="1"/>
    <w:next w:val="1"/>
    <w:unhideWhenUsed/>
    <w:qFormat/>
    <w:uiPriority w:val="0"/>
    <w:pPr>
      <w:keepNext/>
      <w:keepLines/>
      <w:numPr>
        <w:ilvl w:val="4"/>
        <w:numId w:val="1"/>
      </w:numPr>
      <w:spacing w:before="240" w:after="160" w:line="240" w:lineRule="auto"/>
      <w:ind w:firstLine="0" w:firstLineChars="0"/>
      <w:outlineLvl w:val="4"/>
    </w:pPr>
    <w:rPr>
      <w:b/>
      <w:sz w:val="28"/>
    </w:rPr>
  </w:style>
  <w:style w:type="paragraph" w:styleId="7">
    <w:name w:val="heading 6"/>
    <w:basedOn w:val="1"/>
    <w:next w:val="1"/>
    <w:unhideWhenUsed/>
    <w:qFormat/>
    <w:uiPriority w:val="0"/>
    <w:pPr>
      <w:keepNext/>
      <w:keepLines/>
      <w:numPr>
        <w:ilvl w:val="5"/>
        <w:numId w:val="1"/>
      </w:numPr>
      <w:spacing w:before="240" w:after="120" w:line="240" w:lineRule="auto"/>
      <w:ind w:firstLine="0" w:firstLineChars="0"/>
      <w:outlineLvl w:val="5"/>
    </w:pPr>
    <w:rPr>
      <w:b/>
    </w:rPr>
  </w:style>
  <w:style w:type="paragraph" w:styleId="8">
    <w:name w:val="heading 7"/>
    <w:basedOn w:val="1"/>
    <w:next w:val="1"/>
    <w:unhideWhenUsed/>
    <w:qFormat/>
    <w:uiPriority w:val="0"/>
    <w:pPr>
      <w:keepNext/>
      <w:keepLines/>
      <w:numPr>
        <w:ilvl w:val="6"/>
        <w:numId w:val="1"/>
      </w:numPr>
      <w:spacing w:before="240" w:after="120" w:line="240" w:lineRule="auto"/>
      <w:ind w:firstLine="0" w:firstLineChars="0"/>
      <w:outlineLvl w:val="6"/>
    </w:pPr>
    <w:rPr>
      <w:b/>
    </w:rPr>
  </w:style>
  <w:style w:type="paragraph" w:styleId="9">
    <w:name w:val="heading 8"/>
    <w:basedOn w:val="1"/>
    <w:next w:val="1"/>
    <w:unhideWhenUsed/>
    <w:qFormat/>
    <w:uiPriority w:val="0"/>
    <w:pPr>
      <w:keepNext/>
      <w:keepLines/>
      <w:numPr>
        <w:ilvl w:val="7"/>
        <w:numId w:val="1"/>
      </w:numPr>
      <w:spacing w:before="180" w:after="64" w:line="240" w:lineRule="auto"/>
      <w:ind w:firstLine="0" w:firstLineChars="0"/>
      <w:outlineLvl w:val="7"/>
    </w:pPr>
  </w:style>
  <w:style w:type="paragraph" w:styleId="10">
    <w:name w:val="heading 9"/>
    <w:basedOn w:val="1"/>
    <w:next w:val="1"/>
    <w:unhideWhenUsed/>
    <w:qFormat/>
    <w:uiPriority w:val="0"/>
    <w:pPr>
      <w:keepNext/>
      <w:keepLines/>
      <w:numPr>
        <w:ilvl w:val="8"/>
        <w:numId w:val="1"/>
      </w:numPr>
      <w:spacing w:before="180" w:after="64" w:line="240" w:lineRule="auto"/>
      <w:ind w:firstLine="0" w:firstLineChars="0"/>
      <w:outlineLvl w:val="8"/>
    </w:p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25"/>
    <w:qFormat/>
    <w:uiPriority w:val="0"/>
  </w:style>
  <w:style w:type="paragraph" w:styleId="12">
    <w:name w:val="toc 3"/>
    <w:basedOn w:val="1"/>
    <w:next w:val="1"/>
    <w:qFormat/>
    <w:uiPriority w:val="0"/>
    <w:pPr>
      <w:ind w:left="840" w:leftChars="400"/>
    </w:pPr>
  </w:style>
  <w:style w:type="paragraph" w:styleId="13">
    <w:name w:val="Balloon Text"/>
    <w:basedOn w:val="1"/>
    <w:link w:val="27"/>
    <w:uiPriority w:val="0"/>
    <w:pPr>
      <w:spacing w:line="240" w:lineRule="auto"/>
    </w:pPr>
    <w:rPr>
      <w:sz w:val="18"/>
      <w:szCs w:val="18"/>
    </w:rPr>
  </w:style>
  <w:style w:type="paragraph" w:styleId="14">
    <w:name w:val="footer"/>
    <w:basedOn w:val="1"/>
    <w:qFormat/>
    <w:uiPriority w:val="0"/>
    <w:pPr>
      <w:tabs>
        <w:tab w:val="center" w:pos="4153"/>
        <w:tab w:val="right" w:pos="8306"/>
      </w:tabs>
      <w:snapToGrid w:val="0"/>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6">
    <w:name w:val="toc 4"/>
    <w:basedOn w:val="1"/>
    <w:next w:val="1"/>
    <w:qFormat/>
    <w:uiPriority w:val="0"/>
    <w:pPr>
      <w:ind w:left="1260" w:leftChars="600"/>
    </w:pPr>
  </w:style>
  <w:style w:type="paragraph" w:styleId="17">
    <w:name w:val="toc 2"/>
    <w:basedOn w:val="1"/>
    <w:next w:val="1"/>
    <w:qFormat/>
    <w:uiPriority w:val="0"/>
    <w:pPr>
      <w:ind w:left="420" w:leftChars="200"/>
    </w:pPr>
  </w:style>
  <w:style w:type="paragraph" w:styleId="18">
    <w:name w:val="Normal (Web)"/>
    <w:basedOn w:val="1"/>
    <w:qFormat/>
    <w:uiPriority w:val="0"/>
    <w:pPr>
      <w:spacing w:beforeAutospacing="1" w:afterAutospacing="1"/>
    </w:pPr>
    <w:rPr>
      <w:kern w:val="0"/>
    </w:rPr>
  </w:style>
  <w:style w:type="paragraph" w:styleId="19">
    <w:name w:val="annotation subject"/>
    <w:basedOn w:val="11"/>
    <w:next w:val="11"/>
    <w:link w:val="26"/>
    <w:qFormat/>
    <w:uiPriority w:val="0"/>
    <w:rPr>
      <w:b/>
      <w:bCs/>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annotation reference"/>
    <w:basedOn w:val="22"/>
    <w:qFormat/>
    <w:uiPriority w:val="0"/>
    <w:rPr>
      <w:sz w:val="21"/>
      <w:szCs w:val="21"/>
    </w:rPr>
  </w:style>
  <w:style w:type="character" w:customStyle="1" w:styleId="25">
    <w:name w:val="批注文字 字符"/>
    <w:basedOn w:val="22"/>
    <w:link w:val="11"/>
    <w:qFormat/>
    <w:uiPriority w:val="0"/>
    <w:rPr>
      <w:rFonts w:ascii="Arial" w:hAnsi="Arial"/>
      <w:kern w:val="2"/>
      <w:sz w:val="24"/>
      <w:szCs w:val="24"/>
    </w:rPr>
  </w:style>
  <w:style w:type="character" w:customStyle="1" w:styleId="26">
    <w:name w:val="批注主题 字符"/>
    <w:basedOn w:val="25"/>
    <w:link w:val="19"/>
    <w:qFormat/>
    <w:uiPriority w:val="0"/>
    <w:rPr>
      <w:rFonts w:ascii="Arial" w:hAnsi="Arial"/>
      <w:b/>
      <w:bCs/>
      <w:kern w:val="2"/>
      <w:sz w:val="24"/>
      <w:szCs w:val="24"/>
    </w:rPr>
  </w:style>
  <w:style w:type="character" w:customStyle="1" w:styleId="27">
    <w:name w:val="批注框文本 字符"/>
    <w:basedOn w:val="22"/>
    <w:link w:val="13"/>
    <w:qFormat/>
    <w:uiPriority w:val="0"/>
    <w:rPr>
      <w:rFonts w:ascii="Arial" w:hAnsi="Arial"/>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1004</Words>
  <Characters>1032</Characters>
  <Lines>36</Lines>
  <Paragraphs>10</Paragraphs>
  <TotalTime>20</TotalTime>
  <ScaleCrop>false</ScaleCrop>
  <LinksUpToDate>false</LinksUpToDate>
  <CharactersWithSpaces>1041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2025-12-01T11:55:00Z</dcterms:created>
  <dc:creator>13391</dc:creator>
  <cp:lastModifiedBy>张强</cp:lastModifiedBy>
  <dcterms:modified xsi:type="dcterms:W3CDTF">2025-12-02T01:39:45Z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2FCD6EC936A74D7CA90272A3F88C0674_13</vt:lpwstr>
  </property>
  <property fmtid="{D5CDD505-2E9C-101B-9397-08002B2CF9AE}" pid="6" name="AIGC">
    <vt:lpwstr>{"Label":"1","ContentProducer":"001191340100343788434A00000","ProduceID":"eqe9yowfgaeav6ns2p0s5ecrjp2tjitqpsx2","ReserveCode1":"TcrFd8AcSmj8IhgBgo4CVqiunYNBguRpTlJcSHOE","ContentPropagator":"001191340100343788434A00000","PropatorID":"eqe9yowfgaeav6ns2p0s5</vt:lpwstr>
  </property>
  <property fmtid="{D5CDD505-2E9C-101B-9397-08002B2CF9AE}" pid="7" name="KSOTemplateDocerSaveRecord">
    <vt:lpwstr>eyJoZGlkIjoiMGQxYmQxZjY1MjNiZjdkMjg2NmM0NjE0MTJiZDU3NzMiLCJ1c2VySWQiOiIyNjY2MTkwMjEifQ==</vt:lpwstr>
  </property>
</Properties>
</file>